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816D2" w14:textId="77777777" w:rsidR="00317BBA" w:rsidRDefault="00317BBA" w:rsidP="008A422A">
      <w:pPr>
        <w:spacing w:after="0"/>
      </w:pPr>
    </w:p>
    <w:p w14:paraId="2E003E12" w14:textId="77777777" w:rsidR="00317BBA" w:rsidRDefault="00317BBA" w:rsidP="00317BBA">
      <w:pPr>
        <w:spacing w:after="0"/>
      </w:pPr>
      <w:r>
        <w:t>Data:</w:t>
      </w:r>
    </w:p>
    <w:p w14:paraId="5A5A12D4" w14:textId="77777777" w:rsidR="00317BBA" w:rsidRDefault="00317BBA" w:rsidP="00317BBA">
      <w:pPr>
        <w:pStyle w:val="ListParagraph"/>
        <w:spacing w:after="0" w:line="240" w:lineRule="auto"/>
        <w:ind w:left="1080"/>
      </w:pPr>
      <w:r>
        <w:t>Standard Solutions for the Beer’s Law Plot</w:t>
      </w:r>
    </w:p>
    <w:p w14:paraId="4C912422" w14:textId="77777777" w:rsidR="00317BBA" w:rsidRDefault="00317BBA" w:rsidP="00317BBA">
      <w:pPr>
        <w:pStyle w:val="ListParagraph"/>
        <w:numPr>
          <w:ilvl w:val="1"/>
          <w:numId w:val="3"/>
        </w:numPr>
        <w:spacing w:after="0" w:line="240" w:lineRule="auto"/>
      </w:pPr>
      <w:proofErr w:type="gramStart"/>
      <w:r>
        <w:t>Fe(</w:t>
      </w:r>
      <w:proofErr w:type="gramEnd"/>
      <w:r>
        <w:t>NO</w:t>
      </w:r>
      <w:r>
        <w:rPr>
          <w:vertAlign w:val="subscript"/>
        </w:rPr>
        <w:t>3</w:t>
      </w:r>
      <w:r>
        <w:t>)</w:t>
      </w:r>
      <w:r>
        <w:rPr>
          <w:vertAlign w:val="subscript"/>
        </w:rPr>
        <w:t>3</w:t>
      </w:r>
      <w:r>
        <w:t xml:space="preserve"> in 0.1 M HNO</w:t>
      </w:r>
      <w:r>
        <w:rPr>
          <w:vertAlign w:val="subscript"/>
        </w:rPr>
        <w:t>3</w:t>
      </w:r>
      <w:r>
        <w:t xml:space="preserve"> concentration = .2 M</w:t>
      </w:r>
    </w:p>
    <w:p w14:paraId="77241360" w14:textId="77777777" w:rsidR="00317BBA" w:rsidRDefault="00317BBA" w:rsidP="00317BBA">
      <w:pPr>
        <w:pStyle w:val="ListParagraph"/>
        <w:numPr>
          <w:ilvl w:val="1"/>
          <w:numId w:val="3"/>
        </w:numPr>
        <w:spacing w:after="0" w:line="240" w:lineRule="auto"/>
      </w:pPr>
      <w:proofErr w:type="spellStart"/>
      <w:r>
        <w:t>NaSCN</w:t>
      </w:r>
      <w:proofErr w:type="spellEnd"/>
      <w:r>
        <w:t xml:space="preserve"> in 0.1 M HNO</w:t>
      </w:r>
      <w:r>
        <w:rPr>
          <w:vertAlign w:val="subscript"/>
        </w:rPr>
        <w:t>3</w:t>
      </w:r>
      <w:r>
        <w:t xml:space="preserve"> concentration = .002 M</w:t>
      </w:r>
    </w:p>
    <w:p w14:paraId="3E0840B6" w14:textId="77777777" w:rsidR="00317BBA" w:rsidRDefault="00317BBA" w:rsidP="00317BBA">
      <w:pPr>
        <w:pStyle w:val="ListParagraph"/>
        <w:numPr>
          <w:ilvl w:val="1"/>
          <w:numId w:val="3"/>
        </w:numPr>
        <w:spacing w:after="0" w:line="240" w:lineRule="auto"/>
      </w:pPr>
      <w:proofErr w:type="gramStart"/>
      <w:r>
        <w:t>reaction</w:t>
      </w:r>
      <w:proofErr w:type="gramEnd"/>
      <w:r>
        <w:t xml:space="preserve"> temperature = 25 </w:t>
      </w:r>
      <w:proofErr w:type="spellStart"/>
      <w:r>
        <w:t>Celcius</w:t>
      </w:r>
      <w:proofErr w:type="spellEnd"/>
      <w:r>
        <w:t xml:space="preserve"> </w:t>
      </w:r>
    </w:p>
    <w:p w14:paraId="5DA76340" w14:textId="77777777" w:rsidR="00317BBA" w:rsidRDefault="00317BBA" w:rsidP="00317BBA"/>
    <w:p w14:paraId="799785FB" w14:textId="77777777" w:rsidR="00317BBA" w:rsidRDefault="00317BBA" w:rsidP="00317BBA">
      <w:pPr>
        <w:ind w:firstLine="720"/>
      </w:pPr>
      <w:r>
        <w:t>Table 1</w:t>
      </w:r>
    </w:p>
    <w:tbl>
      <w:tblPr>
        <w:tblStyle w:val="TableGrid"/>
        <w:tblW w:w="0" w:type="auto"/>
        <w:tblLook w:val="04A0" w:firstRow="1" w:lastRow="0" w:firstColumn="1" w:lastColumn="0" w:noHBand="0" w:noVBand="1"/>
      </w:tblPr>
      <w:tblGrid>
        <w:gridCol w:w="1334"/>
        <w:gridCol w:w="1265"/>
        <w:gridCol w:w="1265"/>
        <w:gridCol w:w="1265"/>
        <w:gridCol w:w="1265"/>
        <w:gridCol w:w="1265"/>
        <w:gridCol w:w="1266"/>
      </w:tblGrid>
      <w:tr w:rsidR="00317BBA" w14:paraId="516588CF" w14:textId="77777777" w:rsidTr="008E410E">
        <w:tc>
          <w:tcPr>
            <w:tcW w:w="1265" w:type="dxa"/>
          </w:tcPr>
          <w:p w14:paraId="44FBF86D" w14:textId="77777777" w:rsidR="00317BBA" w:rsidRDefault="00317BBA" w:rsidP="008E410E"/>
        </w:tc>
        <w:tc>
          <w:tcPr>
            <w:tcW w:w="1265" w:type="dxa"/>
          </w:tcPr>
          <w:p w14:paraId="11764C63" w14:textId="77777777" w:rsidR="00317BBA" w:rsidRDefault="00317BBA" w:rsidP="008E410E">
            <w:r>
              <w:t>Reference</w:t>
            </w:r>
          </w:p>
        </w:tc>
        <w:tc>
          <w:tcPr>
            <w:tcW w:w="1265" w:type="dxa"/>
          </w:tcPr>
          <w:p w14:paraId="025D1CD4" w14:textId="77777777" w:rsidR="00317BBA" w:rsidRDefault="00317BBA" w:rsidP="008E410E">
            <w:r>
              <w:t>Std.1</w:t>
            </w:r>
          </w:p>
        </w:tc>
        <w:tc>
          <w:tcPr>
            <w:tcW w:w="1265" w:type="dxa"/>
          </w:tcPr>
          <w:p w14:paraId="4927A098" w14:textId="77777777" w:rsidR="00317BBA" w:rsidRDefault="00317BBA" w:rsidP="008E410E">
            <w:r>
              <w:t>Std.2</w:t>
            </w:r>
          </w:p>
        </w:tc>
        <w:tc>
          <w:tcPr>
            <w:tcW w:w="1265" w:type="dxa"/>
          </w:tcPr>
          <w:p w14:paraId="1048CE2D" w14:textId="77777777" w:rsidR="00317BBA" w:rsidRDefault="00317BBA" w:rsidP="008E410E">
            <w:r>
              <w:t>Std. 3</w:t>
            </w:r>
          </w:p>
        </w:tc>
        <w:tc>
          <w:tcPr>
            <w:tcW w:w="1265" w:type="dxa"/>
          </w:tcPr>
          <w:p w14:paraId="541A4E7E" w14:textId="77777777" w:rsidR="00317BBA" w:rsidRDefault="00317BBA" w:rsidP="008E410E">
            <w:r>
              <w:t>Std.4</w:t>
            </w:r>
          </w:p>
        </w:tc>
        <w:tc>
          <w:tcPr>
            <w:tcW w:w="1266" w:type="dxa"/>
          </w:tcPr>
          <w:p w14:paraId="10420FD1" w14:textId="77777777" w:rsidR="00317BBA" w:rsidRDefault="00317BBA" w:rsidP="008E410E">
            <w:r>
              <w:t>Std.5</w:t>
            </w:r>
          </w:p>
        </w:tc>
      </w:tr>
      <w:tr w:rsidR="00317BBA" w14:paraId="570064D1" w14:textId="77777777" w:rsidTr="008E410E">
        <w:tc>
          <w:tcPr>
            <w:tcW w:w="1265" w:type="dxa"/>
          </w:tcPr>
          <w:p w14:paraId="3F3E5CC5" w14:textId="77777777" w:rsidR="00317BBA" w:rsidRDefault="00317BBA" w:rsidP="008E410E">
            <w:r>
              <w:t xml:space="preserve">Vol. of </w:t>
            </w:r>
            <w:proofErr w:type="spellStart"/>
            <w:r>
              <w:t>NaSCN</w:t>
            </w:r>
            <w:proofErr w:type="spellEnd"/>
            <w:r>
              <w:t xml:space="preserve"> added (mL)</w:t>
            </w:r>
          </w:p>
        </w:tc>
        <w:tc>
          <w:tcPr>
            <w:tcW w:w="1265" w:type="dxa"/>
          </w:tcPr>
          <w:p w14:paraId="5679B6CD" w14:textId="77777777" w:rsidR="00317BBA" w:rsidRDefault="00317BBA" w:rsidP="008E410E">
            <w:r>
              <w:t>0</w:t>
            </w:r>
          </w:p>
        </w:tc>
        <w:tc>
          <w:tcPr>
            <w:tcW w:w="1265" w:type="dxa"/>
          </w:tcPr>
          <w:p w14:paraId="1666AA05" w14:textId="77777777" w:rsidR="00317BBA" w:rsidRDefault="00317BBA" w:rsidP="008E410E">
            <w:r>
              <w:t>.5</w:t>
            </w:r>
          </w:p>
        </w:tc>
        <w:tc>
          <w:tcPr>
            <w:tcW w:w="1265" w:type="dxa"/>
          </w:tcPr>
          <w:p w14:paraId="7B954998" w14:textId="77777777" w:rsidR="00317BBA" w:rsidRDefault="00317BBA" w:rsidP="008E410E">
            <w:r>
              <w:t>1</w:t>
            </w:r>
          </w:p>
        </w:tc>
        <w:tc>
          <w:tcPr>
            <w:tcW w:w="1265" w:type="dxa"/>
          </w:tcPr>
          <w:p w14:paraId="29354CDF" w14:textId="77777777" w:rsidR="00317BBA" w:rsidRDefault="00317BBA" w:rsidP="008E410E">
            <w:r>
              <w:t>1.50</w:t>
            </w:r>
          </w:p>
        </w:tc>
        <w:tc>
          <w:tcPr>
            <w:tcW w:w="1265" w:type="dxa"/>
          </w:tcPr>
          <w:p w14:paraId="7CD2DC34" w14:textId="77777777" w:rsidR="00317BBA" w:rsidRDefault="00317BBA" w:rsidP="008E410E">
            <w:r>
              <w:t>2</w:t>
            </w:r>
          </w:p>
        </w:tc>
        <w:tc>
          <w:tcPr>
            <w:tcW w:w="1266" w:type="dxa"/>
          </w:tcPr>
          <w:p w14:paraId="4056A4E3" w14:textId="77777777" w:rsidR="00317BBA" w:rsidRDefault="00317BBA" w:rsidP="008E410E">
            <w:r>
              <w:t>2.50</w:t>
            </w:r>
          </w:p>
        </w:tc>
      </w:tr>
      <w:tr w:rsidR="00317BBA" w14:paraId="05239DF8" w14:textId="77777777" w:rsidTr="008E410E">
        <w:tc>
          <w:tcPr>
            <w:tcW w:w="1265" w:type="dxa"/>
          </w:tcPr>
          <w:p w14:paraId="45288349" w14:textId="77777777" w:rsidR="00317BBA" w:rsidRDefault="00317BBA" w:rsidP="008E410E">
            <w:r>
              <w:t>Initial SCN ion conc. M</w:t>
            </w:r>
          </w:p>
        </w:tc>
        <w:tc>
          <w:tcPr>
            <w:tcW w:w="1265" w:type="dxa"/>
          </w:tcPr>
          <w:p w14:paraId="3E416DCC" w14:textId="77777777" w:rsidR="00317BBA" w:rsidRDefault="00317BBA" w:rsidP="008E410E">
            <w:r>
              <w:t>0</w:t>
            </w:r>
          </w:p>
        </w:tc>
        <w:tc>
          <w:tcPr>
            <w:tcW w:w="1265" w:type="dxa"/>
          </w:tcPr>
          <w:p w14:paraId="6F1E02A0" w14:textId="77777777" w:rsidR="00317BBA" w:rsidRPr="00322EFE" w:rsidRDefault="00317BBA" w:rsidP="008E410E">
            <w:pPr>
              <w:rPr>
                <w:vertAlign w:val="superscript"/>
              </w:rPr>
            </w:pPr>
            <w:r>
              <w:t>4 x 10</w:t>
            </w:r>
            <w:r>
              <w:rPr>
                <w:vertAlign w:val="superscript"/>
              </w:rPr>
              <w:t>-5</w:t>
            </w:r>
          </w:p>
        </w:tc>
        <w:tc>
          <w:tcPr>
            <w:tcW w:w="1265" w:type="dxa"/>
          </w:tcPr>
          <w:p w14:paraId="6D5793F5" w14:textId="77777777" w:rsidR="00317BBA" w:rsidRDefault="00317BBA" w:rsidP="008E410E">
            <w:r>
              <w:t>8 x 10</w:t>
            </w:r>
            <w:r>
              <w:rPr>
                <w:vertAlign w:val="superscript"/>
              </w:rPr>
              <w:t>--5</w:t>
            </w:r>
          </w:p>
        </w:tc>
        <w:tc>
          <w:tcPr>
            <w:tcW w:w="1265" w:type="dxa"/>
          </w:tcPr>
          <w:p w14:paraId="53D40421" w14:textId="77777777" w:rsidR="00317BBA" w:rsidRDefault="00317BBA" w:rsidP="008E410E">
            <w:r>
              <w:t>1.2 x 10</w:t>
            </w:r>
            <w:r>
              <w:rPr>
                <w:vertAlign w:val="superscript"/>
              </w:rPr>
              <w:t>-4</w:t>
            </w:r>
          </w:p>
        </w:tc>
        <w:tc>
          <w:tcPr>
            <w:tcW w:w="1265" w:type="dxa"/>
          </w:tcPr>
          <w:p w14:paraId="07AF5603" w14:textId="77777777" w:rsidR="00317BBA" w:rsidRDefault="00317BBA" w:rsidP="008E410E">
            <w:r>
              <w:t>1.6 x 10</w:t>
            </w:r>
            <w:r>
              <w:rPr>
                <w:vertAlign w:val="superscript"/>
              </w:rPr>
              <w:t>-4</w:t>
            </w:r>
          </w:p>
        </w:tc>
        <w:tc>
          <w:tcPr>
            <w:tcW w:w="1266" w:type="dxa"/>
          </w:tcPr>
          <w:p w14:paraId="6C835368" w14:textId="77777777" w:rsidR="00317BBA" w:rsidRDefault="00317BBA" w:rsidP="008E410E">
            <w:r>
              <w:t>2 x 10</w:t>
            </w:r>
            <w:r>
              <w:rPr>
                <w:vertAlign w:val="superscript"/>
              </w:rPr>
              <w:t>-4</w:t>
            </w:r>
          </w:p>
        </w:tc>
      </w:tr>
      <w:tr w:rsidR="00317BBA" w14:paraId="6D694B9A" w14:textId="77777777" w:rsidTr="008E410E">
        <w:tc>
          <w:tcPr>
            <w:tcW w:w="1265" w:type="dxa"/>
          </w:tcPr>
          <w:p w14:paraId="426FD6D6" w14:textId="77777777" w:rsidR="00317BBA" w:rsidRDefault="00317BBA" w:rsidP="008E410E">
            <w:r>
              <w:t xml:space="preserve">Equilibrium </w:t>
            </w:r>
            <w:proofErr w:type="spellStart"/>
            <w:r>
              <w:t>FeNCS</w:t>
            </w:r>
            <w:proofErr w:type="spellEnd"/>
            <w:r>
              <w:t xml:space="preserve"> ion </w:t>
            </w:r>
            <w:proofErr w:type="spellStart"/>
            <w:r>
              <w:t>conc</w:t>
            </w:r>
            <w:proofErr w:type="spellEnd"/>
            <w:r>
              <w:t xml:space="preserve"> M</w:t>
            </w:r>
          </w:p>
        </w:tc>
        <w:tc>
          <w:tcPr>
            <w:tcW w:w="1265" w:type="dxa"/>
          </w:tcPr>
          <w:p w14:paraId="57919BDE" w14:textId="77777777" w:rsidR="00317BBA" w:rsidRDefault="00317BBA" w:rsidP="008E410E">
            <w:r>
              <w:t>0</w:t>
            </w:r>
          </w:p>
        </w:tc>
        <w:tc>
          <w:tcPr>
            <w:tcW w:w="1265" w:type="dxa"/>
          </w:tcPr>
          <w:p w14:paraId="08158279" w14:textId="77777777" w:rsidR="00317BBA" w:rsidRDefault="00317BBA" w:rsidP="008E410E">
            <w:r>
              <w:t>4 x 10</w:t>
            </w:r>
            <w:r>
              <w:rPr>
                <w:vertAlign w:val="superscript"/>
              </w:rPr>
              <w:t>-5</w:t>
            </w:r>
          </w:p>
        </w:tc>
        <w:tc>
          <w:tcPr>
            <w:tcW w:w="1265" w:type="dxa"/>
          </w:tcPr>
          <w:p w14:paraId="3C3B01DF" w14:textId="77777777" w:rsidR="00317BBA" w:rsidRDefault="00317BBA" w:rsidP="008E410E">
            <w:r>
              <w:t>8 x 10</w:t>
            </w:r>
            <w:r>
              <w:rPr>
                <w:vertAlign w:val="superscript"/>
              </w:rPr>
              <w:t>-5</w:t>
            </w:r>
          </w:p>
        </w:tc>
        <w:tc>
          <w:tcPr>
            <w:tcW w:w="1265" w:type="dxa"/>
          </w:tcPr>
          <w:p w14:paraId="3EC39E68" w14:textId="77777777" w:rsidR="00317BBA" w:rsidRDefault="00317BBA" w:rsidP="008E410E">
            <w:r>
              <w:t>1.2 x 10</w:t>
            </w:r>
            <w:r>
              <w:rPr>
                <w:vertAlign w:val="superscript"/>
              </w:rPr>
              <w:t>-4</w:t>
            </w:r>
          </w:p>
        </w:tc>
        <w:tc>
          <w:tcPr>
            <w:tcW w:w="1265" w:type="dxa"/>
          </w:tcPr>
          <w:p w14:paraId="71A0BFD0" w14:textId="77777777" w:rsidR="00317BBA" w:rsidRDefault="00317BBA" w:rsidP="008E410E">
            <w:r>
              <w:t>1.6 x 10</w:t>
            </w:r>
            <w:r>
              <w:rPr>
                <w:vertAlign w:val="superscript"/>
              </w:rPr>
              <w:t>-4</w:t>
            </w:r>
          </w:p>
        </w:tc>
        <w:tc>
          <w:tcPr>
            <w:tcW w:w="1266" w:type="dxa"/>
          </w:tcPr>
          <w:p w14:paraId="3EEB8C11" w14:textId="77777777" w:rsidR="00317BBA" w:rsidRDefault="00317BBA" w:rsidP="008E410E">
            <w:r>
              <w:t>2 x 10</w:t>
            </w:r>
            <w:r>
              <w:rPr>
                <w:vertAlign w:val="superscript"/>
              </w:rPr>
              <w:t>-4</w:t>
            </w:r>
          </w:p>
        </w:tc>
      </w:tr>
      <w:tr w:rsidR="00317BBA" w14:paraId="734A3996" w14:textId="77777777" w:rsidTr="008E410E">
        <w:tc>
          <w:tcPr>
            <w:tcW w:w="1265" w:type="dxa"/>
          </w:tcPr>
          <w:p w14:paraId="7B865491" w14:textId="77777777" w:rsidR="00317BBA" w:rsidRDefault="00317BBA" w:rsidP="008E410E">
            <w:r>
              <w:t>Abs at 447nm</w:t>
            </w:r>
          </w:p>
        </w:tc>
        <w:tc>
          <w:tcPr>
            <w:tcW w:w="1265" w:type="dxa"/>
          </w:tcPr>
          <w:p w14:paraId="6B67482B" w14:textId="77777777" w:rsidR="00317BBA" w:rsidRDefault="00317BBA" w:rsidP="008E410E">
            <w:r>
              <w:t>0</w:t>
            </w:r>
          </w:p>
        </w:tc>
        <w:tc>
          <w:tcPr>
            <w:tcW w:w="1265" w:type="dxa"/>
          </w:tcPr>
          <w:p w14:paraId="74487F72" w14:textId="77777777" w:rsidR="00317BBA" w:rsidRDefault="00317BBA" w:rsidP="008E410E">
            <w:r>
              <w:t>.045</w:t>
            </w:r>
          </w:p>
        </w:tc>
        <w:tc>
          <w:tcPr>
            <w:tcW w:w="1265" w:type="dxa"/>
          </w:tcPr>
          <w:p w14:paraId="1C4E32ED" w14:textId="77777777" w:rsidR="00317BBA" w:rsidRDefault="00317BBA" w:rsidP="008E410E">
            <w:r>
              <w:t>.068</w:t>
            </w:r>
          </w:p>
        </w:tc>
        <w:tc>
          <w:tcPr>
            <w:tcW w:w="1265" w:type="dxa"/>
          </w:tcPr>
          <w:p w14:paraId="7F0460F8" w14:textId="77777777" w:rsidR="00317BBA" w:rsidRDefault="00317BBA" w:rsidP="008E410E">
            <w:r>
              <w:t>.154</w:t>
            </w:r>
          </w:p>
        </w:tc>
        <w:tc>
          <w:tcPr>
            <w:tcW w:w="1265" w:type="dxa"/>
          </w:tcPr>
          <w:p w14:paraId="6609171B" w14:textId="77777777" w:rsidR="00317BBA" w:rsidRDefault="00317BBA" w:rsidP="008E410E">
            <w:r>
              <w:t>.287</w:t>
            </w:r>
          </w:p>
        </w:tc>
        <w:tc>
          <w:tcPr>
            <w:tcW w:w="1266" w:type="dxa"/>
          </w:tcPr>
          <w:p w14:paraId="05C86152" w14:textId="77777777" w:rsidR="00317BBA" w:rsidRDefault="00317BBA" w:rsidP="008E410E">
            <w:r>
              <w:t>.317</w:t>
            </w:r>
          </w:p>
        </w:tc>
      </w:tr>
    </w:tbl>
    <w:p w14:paraId="631156F3" w14:textId="77777777" w:rsidR="00317BBA" w:rsidRDefault="00317BBA" w:rsidP="008A422A">
      <w:pPr>
        <w:spacing w:after="0"/>
      </w:pPr>
    </w:p>
    <w:p w14:paraId="70C74654" w14:textId="6FB85761" w:rsidR="00673C60" w:rsidRDefault="00317BBA" w:rsidP="008A422A">
      <w:pPr>
        <w:spacing w:after="0"/>
      </w:pPr>
      <w:r>
        <w:t>Beer’s Law Plot</w:t>
      </w:r>
    </w:p>
    <w:p w14:paraId="1C8318EF" w14:textId="77777777" w:rsidR="00317BBA" w:rsidRDefault="00317BBA" w:rsidP="008A422A">
      <w:pPr>
        <w:spacing w:after="0"/>
      </w:pPr>
      <w:r>
        <w:rPr>
          <w:noProof/>
        </w:rPr>
        <w:drawing>
          <wp:inline distT="0" distB="0" distL="0" distR="0" wp14:anchorId="00543741" wp14:editId="39D85DA1">
            <wp:extent cx="4686300" cy="2743200"/>
            <wp:effectExtent l="0" t="0" r="127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603CAC" w14:textId="77777777" w:rsidR="00317BBA" w:rsidRDefault="00317BBA" w:rsidP="008A422A">
      <w:pPr>
        <w:spacing w:after="0"/>
      </w:pPr>
    </w:p>
    <w:p w14:paraId="430486FF" w14:textId="77777777" w:rsidR="00317BBA" w:rsidRDefault="00317BBA" w:rsidP="008A422A">
      <w:pPr>
        <w:spacing w:after="0"/>
      </w:pPr>
      <w:r>
        <w:t>Table 2</w:t>
      </w:r>
    </w:p>
    <w:p w14:paraId="1FBBCFDD" w14:textId="77777777" w:rsidR="00317BBA" w:rsidRDefault="00317BBA" w:rsidP="00317BBA">
      <w:pPr>
        <w:pStyle w:val="ListParagraph"/>
        <w:spacing w:after="0" w:line="240" w:lineRule="auto"/>
        <w:ind w:left="1080"/>
      </w:pPr>
      <w:r>
        <w:lastRenderedPageBreak/>
        <w:t xml:space="preserve">Equilibrium Solutions to Determine Equilibrium Constant for Reaction </w:t>
      </w:r>
    </w:p>
    <w:p w14:paraId="032201FE" w14:textId="77777777" w:rsidR="00317BBA" w:rsidRDefault="00317BBA" w:rsidP="00317BBA">
      <w:pPr>
        <w:pStyle w:val="ListParagraph"/>
        <w:numPr>
          <w:ilvl w:val="1"/>
          <w:numId w:val="4"/>
        </w:numPr>
        <w:spacing w:after="0" w:line="240" w:lineRule="auto"/>
      </w:pPr>
      <w:proofErr w:type="gramStart"/>
      <w:r>
        <w:t>Fe(</w:t>
      </w:r>
      <w:proofErr w:type="gramEnd"/>
      <w:r>
        <w:t>NO</w:t>
      </w:r>
      <w:r>
        <w:rPr>
          <w:vertAlign w:val="subscript"/>
        </w:rPr>
        <w:t>3</w:t>
      </w:r>
      <w:r>
        <w:t>)</w:t>
      </w:r>
      <w:r>
        <w:rPr>
          <w:vertAlign w:val="subscript"/>
        </w:rPr>
        <w:t>3</w:t>
      </w:r>
      <w:r>
        <w:t xml:space="preserve"> in 0.1 M HNO</w:t>
      </w:r>
      <w:r>
        <w:rPr>
          <w:vertAlign w:val="subscript"/>
        </w:rPr>
        <w:t>3</w:t>
      </w:r>
      <w:r>
        <w:t xml:space="preserve"> concentration = .002 M</w:t>
      </w:r>
    </w:p>
    <w:p w14:paraId="4AB3234C" w14:textId="77777777" w:rsidR="00317BBA" w:rsidRDefault="00317BBA" w:rsidP="00317BBA">
      <w:pPr>
        <w:pStyle w:val="ListParagraph"/>
        <w:numPr>
          <w:ilvl w:val="1"/>
          <w:numId w:val="4"/>
        </w:numPr>
        <w:spacing w:after="0" w:line="240" w:lineRule="auto"/>
      </w:pPr>
      <w:proofErr w:type="spellStart"/>
      <w:r>
        <w:t>NaSCN</w:t>
      </w:r>
      <w:proofErr w:type="spellEnd"/>
      <w:r>
        <w:t xml:space="preserve"> in 0.1 M HNO</w:t>
      </w:r>
      <w:r>
        <w:rPr>
          <w:vertAlign w:val="subscript"/>
        </w:rPr>
        <w:t>3</w:t>
      </w:r>
      <w:r>
        <w:t xml:space="preserve"> concentration = .002 M</w:t>
      </w:r>
    </w:p>
    <w:p w14:paraId="10412AEA" w14:textId="559C7EC6" w:rsidR="00317BBA" w:rsidRDefault="00317BBA" w:rsidP="00317BBA">
      <w:pPr>
        <w:pStyle w:val="ListParagraph"/>
        <w:numPr>
          <w:ilvl w:val="1"/>
          <w:numId w:val="4"/>
        </w:numPr>
        <w:spacing w:after="0" w:line="240" w:lineRule="auto"/>
      </w:pPr>
      <w:proofErr w:type="gramStart"/>
      <w:r>
        <w:t>reaction</w:t>
      </w:r>
      <w:proofErr w:type="gramEnd"/>
      <w:r>
        <w:t xml:space="preserve"> temperature = 25 </w:t>
      </w:r>
      <w:proofErr w:type="spellStart"/>
      <w:r>
        <w:t>Celcius</w:t>
      </w:r>
      <w:proofErr w:type="spellEnd"/>
      <w:r>
        <w:t xml:space="preserve"> </w:t>
      </w:r>
    </w:p>
    <w:tbl>
      <w:tblPr>
        <w:tblStyle w:val="TableGrid"/>
        <w:tblpPr w:leftFromText="180" w:rightFromText="180" w:vertAnchor="text" w:tblpY="1"/>
        <w:tblOverlap w:val="never"/>
        <w:tblW w:w="9443" w:type="dxa"/>
        <w:tblLook w:val="04A0" w:firstRow="1" w:lastRow="0" w:firstColumn="1" w:lastColumn="0" w:noHBand="0" w:noVBand="1"/>
      </w:tblPr>
      <w:tblGrid>
        <w:gridCol w:w="1376"/>
        <w:gridCol w:w="1331"/>
        <w:gridCol w:w="1331"/>
        <w:gridCol w:w="1331"/>
        <w:gridCol w:w="1331"/>
        <w:gridCol w:w="1331"/>
        <w:gridCol w:w="1412"/>
      </w:tblGrid>
      <w:tr w:rsidR="00317BBA" w14:paraId="266B5FBB" w14:textId="77777777" w:rsidTr="00673C60">
        <w:trPr>
          <w:trHeight w:val="217"/>
        </w:trPr>
        <w:tc>
          <w:tcPr>
            <w:tcW w:w="1376" w:type="dxa"/>
          </w:tcPr>
          <w:p w14:paraId="2F17FE8B" w14:textId="77777777" w:rsidR="00317BBA" w:rsidRDefault="00317BBA" w:rsidP="00673C60"/>
        </w:tc>
        <w:tc>
          <w:tcPr>
            <w:tcW w:w="1331" w:type="dxa"/>
          </w:tcPr>
          <w:p w14:paraId="468CE26D" w14:textId="77777777" w:rsidR="00317BBA" w:rsidRDefault="00317BBA" w:rsidP="00673C60">
            <w:proofErr w:type="spellStart"/>
            <w:r>
              <w:t>Equil</w:t>
            </w:r>
            <w:proofErr w:type="spellEnd"/>
            <w:r>
              <w:t>. 1</w:t>
            </w:r>
          </w:p>
        </w:tc>
        <w:tc>
          <w:tcPr>
            <w:tcW w:w="1331" w:type="dxa"/>
          </w:tcPr>
          <w:p w14:paraId="25D757D3" w14:textId="77777777" w:rsidR="00317BBA" w:rsidRDefault="00317BBA" w:rsidP="00673C60">
            <w:proofErr w:type="spellStart"/>
            <w:r>
              <w:t>Equil</w:t>
            </w:r>
            <w:proofErr w:type="spellEnd"/>
            <w:r>
              <w:t>. 2</w:t>
            </w:r>
          </w:p>
        </w:tc>
        <w:tc>
          <w:tcPr>
            <w:tcW w:w="1331" w:type="dxa"/>
          </w:tcPr>
          <w:p w14:paraId="51510687" w14:textId="77777777" w:rsidR="00317BBA" w:rsidRDefault="00317BBA" w:rsidP="00673C60">
            <w:proofErr w:type="spellStart"/>
            <w:r>
              <w:t>Equil</w:t>
            </w:r>
            <w:proofErr w:type="spellEnd"/>
            <w:r>
              <w:t>. 3</w:t>
            </w:r>
          </w:p>
        </w:tc>
        <w:tc>
          <w:tcPr>
            <w:tcW w:w="1331" w:type="dxa"/>
          </w:tcPr>
          <w:p w14:paraId="2C7450D2" w14:textId="77777777" w:rsidR="00317BBA" w:rsidRDefault="00317BBA" w:rsidP="00673C60">
            <w:proofErr w:type="spellStart"/>
            <w:r>
              <w:t>Equil</w:t>
            </w:r>
            <w:proofErr w:type="spellEnd"/>
            <w:r>
              <w:t>. 4</w:t>
            </w:r>
          </w:p>
        </w:tc>
        <w:tc>
          <w:tcPr>
            <w:tcW w:w="1331" w:type="dxa"/>
          </w:tcPr>
          <w:p w14:paraId="054D51B9" w14:textId="77777777" w:rsidR="00317BBA" w:rsidRDefault="00317BBA" w:rsidP="00673C60">
            <w:proofErr w:type="spellStart"/>
            <w:r>
              <w:t>Equil</w:t>
            </w:r>
            <w:proofErr w:type="spellEnd"/>
            <w:r>
              <w:t>. 5</w:t>
            </w:r>
          </w:p>
        </w:tc>
        <w:tc>
          <w:tcPr>
            <w:tcW w:w="1412" w:type="dxa"/>
          </w:tcPr>
          <w:p w14:paraId="0244D9FD" w14:textId="77777777" w:rsidR="00317BBA" w:rsidRDefault="00317BBA" w:rsidP="00673C60">
            <w:proofErr w:type="spellStart"/>
            <w:r>
              <w:t>Equil</w:t>
            </w:r>
            <w:proofErr w:type="spellEnd"/>
            <w:r>
              <w:t>. 6</w:t>
            </w:r>
          </w:p>
        </w:tc>
      </w:tr>
      <w:tr w:rsidR="00317BBA" w14:paraId="61B4AF71" w14:textId="77777777" w:rsidTr="00673C60">
        <w:trPr>
          <w:trHeight w:val="884"/>
        </w:trPr>
        <w:tc>
          <w:tcPr>
            <w:tcW w:w="1376" w:type="dxa"/>
          </w:tcPr>
          <w:p w14:paraId="004451D8" w14:textId="77777777" w:rsidR="00317BBA" w:rsidRPr="00B36788" w:rsidRDefault="00317BBA" w:rsidP="00673C60">
            <w:proofErr w:type="gramStart"/>
            <w:r>
              <w:t>Fe(</w:t>
            </w:r>
            <w:proofErr w:type="gramEnd"/>
            <w:r>
              <w:t>NO</w:t>
            </w:r>
            <w:r>
              <w:rPr>
                <w:vertAlign w:val="subscript"/>
              </w:rPr>
              <w:t>3</w:t>
            </w:r>
            <w:r>
              <w:t>)</w:t>
            </w:r>
            <w:r>
              <w:rPr>
                <w:vertAlign w:val="subscript"/>
              </w:rPr>
              <w:t xml:space="preserve">3 </w:t>
            </w:r>
            <w:r>
              <w:t xml:space="preserve"> in 0.1 M HNO</w:t>
            </w:r>
            <w:r>
              <w:rPr>
                <w:vertAlign w:val="subscript"/>
              </w:rPr>
              <w:t>3</w:t>
            </w:r>
            <w:r>
              <w:t xml:space="preserve"> added</w:t>
            </w:r>
          </w:p>
        </w:tc>
        <w:tc>
          <w:tcPr>
            <w:tcW w:w="1331" w:type="dxa"/>
          </w:tcPr>
          <w:p w14:paraId="58048BD5" w14:textId="77777777" w:rsidR="00317BBA" w:rsidRDefault="00317BBA" w:rsidP="00673C60">
            <w:r>
              <w:t>1</w:t>
            </w:r>
          </w:p>
        </w:tc>
        <w:tc>
          <w:tcPr>
            <w:tcW w:w="1331" w:type="dxa"/>
          </w:tcPr>
          <w:p w14:paraId="41754558" w14:textId="77777777" w:rsidR="00317BBA" w:rsidRDefault="00317BBA" w:rsidP="00673C60">
            <w:r>
              <w:t>1</w:t>
            </w:r>
          </w:p>
        </w:tc>
        <w:tc>
          <w:tcPr>
            <w:tcW w:w="1331" w:type="dxa"/>
          </w:tcPr>
          <w:p w14:paraId="4AF21676" w14:textId="77777777" w:rsidR="00317BBA" w:rsidRDefault="00317BBA" w:rsidP="00673C60">
            <w:r>
              <w:t>1</w:t>
            </w:r>
          </w:p>
        </w:tc>
        <w:tc>
          <w:tcPr>
            <w:tcW w:w="1331" w:type="dxa"/>
          </w:tcPr>
          <w:p w14:paraId="4454905F" w14:textId="77777777" w:rsidR="00317BBA" w:rsidRDefault="00317BBA" w:rsidP="00673C60">
            <w:r>
              <w:t>1</w:t>
            </w:r>
          </w:p>
        </w:tc>
        <w:tc>
          <w:tcPr>
            <w:tcW w:w="1331" w:type="dxa"/>
          </w:tcPr>
          <w:p w14:paraId="7B336EBD" w14:textId="77777777" w:rsidR="00317BBA" w:rsidRDefault="00317BBA" w:rsidP="00673C60">
            <w:r>
              <w:t>1</w:t>
            </w:r>
          </w:p>
        </w:tc>
        <w:tc>
          <w:tcPr>
            <w:tcW w:w="1412" w:type="dxa"/>
          </w:tcPr>
          <w:p w14:paraId="7F2C4DE1" w14:textId="77777777" w:rsidR="00317BBA" w:rsidRDefault="00317BBA" w:rsidP="00673C60">
            <w:r>
              <w:t>1</w:t>
            </w:r>
          </w:p>
        </w:tc>
      </w:tr>
      <w:tr w:rsidR="00317BBA" w14:paraId="7D5CA2C4" w14:textId="77777777" w:rsidTr="00673C60">
        <w:trPr>
          <w:trHeight w:val="217"/>
        </w:trPr>
        <w:tc>
          <w:tcPr>
            <w:tcW w:w="1376" w:type="dxa"/>
          </w:tcPr>
          <w:p w14:paraId="6BBB61E2" w14:textId="77777777" w:rsidR="00317BBA" w:rsidRDefault="00317BBA" w:rsidP="00673C60">
            <w:r>
              <w:t xml:space="preserve">Vol. of </w:t>
            </w:r>
            <w:proofErr w:type="spellStart"/>
            <w:r>
              <w:t>NaSCN</w:t>
            </w:r>
            <w:proofErr w:type="spellEnd"/>
            <w:r>
              <w:t xml:space="preserve"> added (mL)</w:t>
            </w:r>
          </w:p>
        </w:tc>
        <w:tc>
          <w:tcPr>
            <w:tcW w:w="1331" w:type="dxa"/>
          </w:tcPr>
          <w:p w14:paraId="0EA70128" w14:textId="77777777" w:rsidR="00317BBA" w:rsidRDefault="00317BBA" w:rsidP="00673C60">
            <w:r>
              <w:t>0</w:t>
            </w:r>
          </w:p>
        </w:tc>
        <w:tc>
          <w:tcPr>
            <w:tcW w:w="1331" w:type="dxa"/>
          </w:tcPr>
          <w:p w14:paraId="37E41E4B" w14:textId="77777777" w:rsidR="00317BBA" w:rsidRDefault="00317BBA" w:rsidP="00673C60">
            <w:r>
              <w:t>.2</w:t>
            </w:r>
          </w:p>
        </w:tc>
        <w:tc>
          <w:tcPr>
            <w:tcW w:w="1331" w:type="dxa"/>
          </w:tcPr>
          <w:p w14:paraId="456AF704" w14:textId="77777777" w:rsidR="00317BBA" w:rsidRDefault="00317BBA" w:rsidP="00673C60">
            <w:r>
              <w:t>.4</w:t>
            </w:r>
          </w:p>
        </w:tc>
        <w:tc>
          <w:tcPr>
            <w:tcW w:w="1331" w:type="dxa"/>
          </w:tcPr>
          <w:p w14:paraId="33933124" w14:textId="77777777" w:rsidR="00317BBA" w:rsidRDefault="00317BBA" w:rsidP="00673C60">
            <w:r>
              <w:t>.6</w:t>
            </w:r>
          </w:p>
        </w:tc>
        <w:tc>
          <w:tcPr>
            <w:tcW w:w="1331" w:type="dxa"/>
          </w:tcPr>
          <w:p w14:paraId="30D10001" w14:textId="77777777" w:rsidR="00317BBA" w:rsidRDefault="00317BBA" w:rsidP="00673C60">
            <w:r>
              <w:t>.8</w:t>
            </w:r>
          </w:p>
        </w:tc>
        <w:tc>
          <w:tcPr>
            <w:tcW w:w="1412" w:type="dxa"/>
          </w:tcPr>
          <w:p w14:paraId="5CF9FC9B" w14:textId="77777777" w:rsidR="00317BBA" w:rsidRDefault="00317BBA" w:rsidP="00673C60">
            <w:r>
              <w:t>1</w:t>
            </w:r>
          </w:p>
        </w:tc>
      </w:tr>
      <w:tr w:rsidR="00317BBA" w14:paraId="0369B768" w14:textId="77777777" w:rsidTr="00673C60">
        <w:trPr>
          <w:trHeight w:val="217"/>
        </w:trPr>
        <w:tc>
          <w:tcPr>
            <w:tcW w:w="1376" w:type="dxa"/>
          </w:tcPr>
          <w:p w14:paraId="65DD3EF3" w14:textId="77777777" w:rsidR="00317BBA" w:rsidRDefault="00317BBA" w:rsidP="00673C60">
            <w:r>
              <w:t>Initial Fe</w:t>
            </w:r>
            <w:r>
              <w:rPr>
                <w:vertAlign w:val="superscript"/>
              </w:rPr>
              <w:t>3+</w:t>
            </w:r>
            <w:r>
              <w:t xml:space="preserve"> ion conc. (M)</w:t>
            </w:r>
          </w:p>
        </w:tc>
        <w:tc>
          <w:tcPr>
            <w:tcW w:w="1331" w:type="dxa"/>
          </w:tcPr>
          <w:p w14:paraId="73C4D2F4" w14:textId="77777777" w:rsidR="00317BBA" w:rsidRDefault="00317BBA" w:rsidP="00673C60">
            <w:r>
              <w:t>.001</w:t>
            </w:r>
          </w:p>
        </w:tc>
        <w:tc>
          <w:tcPr>
            <w:tcW w:w="1331" w:type="dxa"/>
          </w:tcPr>
          <w:p w14:paraId="60DDE34F" w14:textId="77777777" w:rsidR="00317BBA" w:rsidRDefault="00317BBA" w:rsidP="00673C60">
            <w:r>
              <w:t>.001</w:t>
            </w:r>
          </w:p>
        </w:tc>
        <w:tc>
          <w:tcPr>
            <w:tcW w:w="1331" w:type="dxa"/>
          </w:tcPr>
          <w:p w14:paraId="3B663387" w14:textId="77777777" w:rsidR="00317BBA" w:rsidRDefault="00317BBA" w:rsidP="00673C60">
            <w:r>
              <w:t>.001</w:t>
            </w:r>
          </w:p>
        </w:tc>
        <w:tc>
          <w:tcPr>
            <w:tcW w:w="1331" w:type="dxa"/>
          </w:tcPr>
          <w:p w14:paraId="5AD3961C" w14:textId="77777777" w:rsidR="00317BBA" w:rsidRDefault="00317BBA" w:rsidP="00673C60">
            <w:r>
              <w:t>.001</w:t>
            </w:r>
          </w:p>
        </w:tc>
        <w:tc>
          <w:tcPr>
            <w:tcW w:w="1331" w:type="dxa"/>
          </w:tcPr>
          <w:p w14:paraId="0232A8BC" w14:textId="77777777" w:rsidR="00317BBA" w:rsidRDefault="00317BBA" w:rsidP="00673C60">
            <w:r>
              <w:t>.001</w:t>
            </w:r>
          </w:p>
        </w:tc>
        <w:tc>
          <w:tcPr>
            <w:tcW w:w="1412" w:type="dxa"/>
          </w:tcPr>
          <w:p w14:paraId="6C7FF1BC" w14:textId="77777777" w:rsidR="00317BBA" w:rsidRDefault="00317BBA" w:rsidP="00673C60">
            <w:r>
              <w:t>.001</w:t>
            </w:r>
          </w:p>
        </w:tc>
      </w:tr>
      <w:tr w:rsidR="00317BBA" w14:paraId="25D08259" w14:textId="77777777" w:rsidTr="00673C60">
        <w:trPr>
          <w:trHeight w:val="230"/>
        </w:trPr>
        <w:tc>
          <w:tcPr>
            <w:tcW w:w="1376" w:type="dxa"/>
          </w:tcPr>
          <w:p w14:paraId="09ADCFCD" w14:textId="77777777" w:rsidR="00317BBA" w:rsidRDefault="00317BBA" w:rsidP="00673C60">
            <w:r>
              <w:t>Initial SCN ion conc.</w:t>
            </w:r>
          </w:p>
        </w:tc>
        <w:tc>
          <w:tcPr>
            <w:tcW w:w="1331" w:type="dxa"/>
          </w:tcPr>
          <w:p w14:paraId="6C0995BB" w14:textId="77777777" w:rsidR="00317BBA" w:rsidRDefault="00317BBA" w:rsidP="00673C60">
            <w:r>
              <w:t>0</w:t>
            </w:r>
          </w:p>
        </w:tc>
        <w:tc>
          <w:tcPr>
            <w:tcW w:w="1331" w:type="dxa"/>
          </w:tcPr>
          <w:p w14:paraId="46C211DB" w14:textId="77777777" w:rsidR="00317BBA" w:rsidRPr="00B36788" w:rsidRDefault="00317BBA" w:rsidP="00673C60">
            <w:pPr>
              <w:rPr>
                <w:vertAlign w:val="superscript"/>
              </w:rPr>
            </w:pPr>
            <w:r>
              <w:t>2 x 10</w:t>
            </w:r>
            <w:r>
              <w:rPr>
                <w:vertAlign w:val="superscript"/>
              </w:rPr>
              <w:t>-4</w:t>
            </w:r>
          </w:p>
        </w:tc>
        <w:tc>
          <w:tcPr>
            <w:tcW w:w="1331" w:type="dxa"/>
          </w:tcPr>
          <w:p w14:paraId="1E33E031" w14:textId="77777777" w:rsidR="00317BBA" w:rsidRPr="00B36788" w:rsidRDefault="00317BBA" w:rsidP="00673C60">
            <w:pPr>
              <w:rPr>
                <w:vertAlign w:val="superscript"/>
              </w:rPr>
            </w:pPr>
            <w:r>
              <w:t>4 x 10</w:t>
            </w:r>
            <w:r>
              <w:rPr>
                <w:vertAlign w:val="superscript"/>
              </w:rPr>
              <w:t>-4</w:t>
            </w:r>
          </w:p>
        </w:tc>
        <w:tc>
          <w:tcPr>
            <w:tcW w:w="1331" w:type="dxa"/>
          </w:tcPr>
          <w:p w14:paraId="472C8547" w14:textId="77777777" w:rsidR="00317BBA" w:rsidRDefault="00317BBA" w:rsidP="00673C60">
            <w:r>
              <w:t>6 x 10</w:t>
            </w:r>
            <w:r>
              <w:rPr>
                <w:vertAlign w:val="superscript"/>
              </w:rPr>
              <w:t>-4</w:t>
            </w:r>
          </w:p>
        </w:tc>
        <w:tc>
          <w:tcPr>
            <w:tcW w:w="1331" w:type="dxa"/>
          </w:tcPr>
          <w:p w14:paraId="1201C798" w14:textId="77777777" w:rsidR="00317BBA" w:rsidRDefault="00317BBA" w:rsidP="00673C60">
            <w:r>
              <w:t>8 x 10</w:t>
            </w:r>
            <w:r>
              <w:rPr>
                <w:vertAlign w:val="superscript"/>
              </w:rPr>
              <w:t>-4</w:t>
            </w:r>
          </w:p>
        </w:tc>
        <w:tc>
          <w:tcPr>
            <w:tcW w:w="1412" w:type="dxa"/>
          </w:tcPr>
          <w:p w14:paraId="6952BAAE" w14:textId="77777777" w:rsidR="00317BBA" w:rsidRDefault="00317BBA" w:rsidP="00673C60">
            <w:r>
              <w:t>.001</w:t>
            </w:r>
          </w:p>
        </w:tc>
      </w:tr>
      <w:tr w:rsidR="00317BBA" w14:paraId="0FDA22B5" w14:textId="77777777" w:rsidTr="00673C60">
        <w:trPr>
          <w:trHeight w:val="230"/>
        </w:trPr>
        <w:tc>
          <w:tcPr>
            <w:tcW w:w="1376" w:type="dxa"/>
          </w:tcPr>
          <w:p w14:paraId="4B2561B4" w14:textId="77777777" w:rsidR="00317BBA" w:rsidRDefault="00317BBA" w:rsidP="00673C60">
            <w:r>
              <w:t>Abs. at 447nm</w:t>
            </w:r>
          </w:p>
        </w:tc>
        <w:tc>
          <w:tcPr>
            <w:tcW w:w="1331" w:type="dxa"/>
          </w:tcPr>
          <w:p w14:paraId="74221A44" w14:textId="77777777" w:rsidR="00317BBA" w:rsidRDefault="00317BBA" w:rsidP="00673C60">
            <w:r>
              <w:t>0</w:t>
            </w:r>
          </w:p>
        </w:tc>
        <w:tc>
          <w:tcPr>
            <w:tcW w:w="1331" w:type="dxa"/>
          </w:tcPr>
          <w:p w14:paraId="5B56A7C6" w14:textId="77777777" w:rsidR="00317BBA" w:rsidRDefault="00317BBA" w:rsidP="00673C60">
            <w:r>
              <w:t>.257</w:t>
            </w:r>
          </w:p>
        </w:tc>
        <w:tc>
          <w:tcPr>
            <w:tcW w:w="1331" w:type="dxa"/>
          </w:tcPr>
          <w:p w14:paraId="266F478C" w14:textId="77777777" w:rsidR="00317BBA" w:rsidRDefault="00317BBA" w:rsidP="00673C60">
            <w:r>
              <w:t>.360</w:t>
            </w:r>
          </w:p>
        </w:tc>
        <w:tc>
          <w:tcPr>
            <w:tcW w:w="1331" w:type="dxa"/>
          </w:tcPr>
          <w:p w14:paraId="16189FED" w14:textId="77777777" w:rsidR="00317BBA" w:rsidRDefault="00317BBA" w:rsidP="00673C60">
            <w:r>
              <w:t>.383</w:t>
            </w:r>
          </w:p>
        </w:tc>
        <w:tc>
          <w:tcPr>
            <w:tcW w:w="1331" w:type="dxa"/>
          </w:tcPr>
          <w:p w14:paraId="49BC0750" w14:textId="77777777" w:rsidR="00317BBA" w:rsidRDefault="00317BBA" w:rsidP="00673C60">
            <w:r>
              <w:t>.493</w:t>
            </w:r>
          </w:p>
        </w:tc>
        <w:tc>
          <w:tcPr>
            <w:tcW w:w="1412" w:type="dxa"/>
          </w:tcPr>
          <w:p w14:paraId="4D715517" w14:textId="77777777" w:rsidR="00317BBA" w:rsidRDefault="00317BBA" w:rsidP="00673C60">
            <w:r>
              <w:t>.556</w:t>
            </w:r>
          </w:p>
        </w:tc>
      </w:tr>
      <w:tr w:rsidR="00317BBA" w14:paraId="6DF7B52C" w14:textId="77777777" w:rsidTr="00673C60">
        <w:trPr>
          <w:trHeight w:val="230"/>
        </w:trPr>
        <w:tc>
          <w:tcPr>
            <w:tcW w:w="1376" w:type="dxa"/>
          </w:tcPr>
          <w:p w14:paraId="3E723AF1" w14:textId="77777777" w:rsidR="00317BBA" w:rsidRDefault="00317BBA" w:rsidP="00673C60"/>
        </w:tc>
        <w:tc>
          <w:tcPr>
            <w:tcW w:w="1331" w:type="dxa"/>
          </w:tcPr>
          <w:p w14:paraId="3F4C0A70" w14:textId="77777777" w:rsidR="00317BBA" w:rsidRDefault="00317BBA" w:rsidP="00673C60"/>
        </w:tc>
        <w:tc>
          <w:tcPr>
            <w:tcW w:w="1331" w:type="dxa"/>
          </w:tcPr>
          <w:p w14:paraId="63395130" w14:textId="77777777" w:rsidR="00317BBA" w:rsidRDefault="00317BBA" w:rsidP="00673C60"/>
        </w:tc>
        <w:tc>
          <w:tcPr>
            <w:tcW w:w="1331" w:type="dxa"/>
          </w:tcPr>
          <w:p w14:paraId="28EC8ADC" w14:textId="77777777" w:rsidR="00317BBA" w:rsidRDefault="00317BBA" w:rsidP="00673C60"/>
        </w:tc>
        <w:tc>
          <w:tcPr>
            <w:tcW w:w="1331" w:type="dxa"/>
          </w:tcPr>
          <w:p w14:paraId="1597ED65" w14:textId="77777777" w:rsidR="00317BBA" w:rsidRDefault="00317BBA" w:rsidP="00673C60"/>
        </w:tc>
        <w:tc>
          <w:tcPr>
            <w:tcW w:w="1331" w:type="dxa"/>
          </w:tcPr>
          <w:p w14:paraId="007AFC82" w14:textId="77777777" w:rsidR="00317BBA" w:rsidRDefault="00317BBA" w:rsidP="00673C60"/>
        </w:tc>
        <w:tc>
          <w:tcPr>
            <w:tcW w:w="1412" w:type="dxa"/>
          </w:tcPr>
          <w:p w14:paraId="0935BF47" w14:textId="77777777" w:rsidR="00317BBA" w:rsidRDefault="00317BBA" w:rsidP="00673C60"/>
        </w:tc>
      </w:tr>
      <w:tr w:rsidR="00317BBA" w14:paraId="3FC1A757" w14:textId="77777777" w:rsidTr="00673C60">
        <w:trPr>
          <w:trHeight w:val="230"/>
        </w:trPr>
        <w:tc>
          <w:tcPr>
            <w:tcW w:w="1376" w:type="dxa"/>
          </w:tcPr>
          <w:p w14:paraId="52EE4F08" w14:textId="77777777" w:rsidR="00317BBA" w:rsidRPr="00612B91" w:rsidRDefault="00317BBA" w:rsidP="00673C60">
            <w:proofErr w:type="spellStart"/>
            <w:r>
              <w:t>Equil</w:t>
            </w:r>
            <w:proofErr w:type="spellEnd"/>
            <w:r>
              <w:t>. FeNCS</w:t>
            </w:r>
            <w:r>
              <w:rPr>
                <w:vertAlign w:val="superscript"/>
              </w:rPr>
              <w:t>2+</w:t>
            </w:r>
            <w:r>
              <w:t xml:space="preserve"> ion conc. (M)</w:t>
            </w:r>
          </w:p>
        </w:tc>
        <w:tc>
          <w:tcPr>
            <w:tcW w:w="1331" w:type="dxa"/>
          </w:tcPr>
          <w:p w14:paraId="1B5AD9AC" w14:textId="77777777" w:rsidR="00317BBA" w:rsidRDefault="00317BBA" w:rsidP="00673C60">
            <w:r>
              <w:t>1.38</w:t>
            </w:r>
          </w:p>
        </w:tc>
        <w:tc>
          <w:tcPr>
            <w:tcW w:w="1331" w:type="dxa"/>
          </w:tcPr>
          <w:p w14:paraId="075D6751" w14:textId="77777777" w:rsidR="00317BBA" w:rsidRDefault="00317BBA" w:rsidP="00673C60">
            <w:r>
              <w:t>5.13</w:t>
            </w:r>
          </w:p>
        </w:tc>
        <w:tc>
          <w:tcPr>
            <w:tcW w:w="1331" w:type="dxa"/>
          </w:tcPr>
          <w:p w14:paraId="25513B03" w14:textId="77777777" w:rsidR="00317BBA" w:rsidRDefault="00317BBA" w:rsidP="00673C60">
            <w:r>
              <w:t>6.64</w:t>
            </w:r>
          </w:p>
        </w:tc>
        <w:tc>
          <w:tcPr>
            <w:tcW w:w="1331" w:type="dxa"/>
          </w:tcPr>
          <w:p w14:paraId="3851987D" w14:textId="77777777" w:rsidR="00317BBA" w:rsidRDefault="00317BBA" w:rsidP="00673C60">
            <w:r>
              <w:t>6.97</w:t>
            </w:r>
          </w:p>
        </w:tc>
        <w:tc>
          <w:tcPr>
            <w:tcW w:w="1331" w:type="dxa"/>
          </w:tcPr>
          <w:p w14:paraId="2D53C84E" w14:textId="77777777" w:rsidR="00317BBA" w:rsidRDefault="00317BBA" w:rsidP="00673C60">
            <w:r>
              <w:t>8.58</w:t>
            </w:r>
          </w:p>
        </w:tc>
        <w:tc>
          <w:tcPr>
            <w:tcW w:w="1412" w:type="dxa"/>
          </w:tcPr>
          <w:p w14:paraId="02382A76" w14:textId="77777777" w:rsidR="00317BBA" w:rsidRDefault="00317BBA" w:rsidP="00673C60">
            <w:r>
              <w:t>9.496</w:t>
            </w:r>
          </w:p>
        </w:tc>
      </w:tr>
      <w:tr w:rsidR="00317BBA" w14:paraId="2A6F39B4" w14:textId="77777777" w:rsidTr="00673C60">
        <w:trPr>
          <w:trHeight w:val="230"/>
        </w:trPr>
        <w:tc>
          <w:tcPr>
            <w:tcW w:w="1376" w:type="dxa"/>
          </w:tcPr>
          <w:p w14:paraId="033D9079" w14:textId="77777777" w:rsidR="00317BBA" w:rsidRDefault="00317BBA" w:rsidP="00673C60"/>
          <w:p w14:paraId="6BDC3098" w14:textId="77777777" w:rsidR="00317BBA" w:rsidRPr="00612B91" w:rsidRDefault="00317BBA" w:rsidP="00673C60">
            <w:proofErr w:type="spellStart"/>
            <w:r>
              <w:t>Equil</w:t>
            </w:r>
            <w:proofErr w:type="spellEnd"/>
            <w:r>
              <w:t>. Fe</w:t>
            </w:r>
            <w:r>
              <w:rPr>
                <w:vertAlign w:val="superscript"/>
              </w:rPr>
              <w:t>3+</w:t>
            </w:r>
            <w:r>
              <w:t xml:space="preserve"> ion conc. (M)</w:t>
            </w:r>
          </w:p>
        </w:tc>
        <w:tc>
          <w:tcPr>
            <w:tcW w:w="1331" w:type="dxa"/>
          </w:tcPr>
          <w:p w14:paraId="794131BA" w14:textId="77777777" w:rsidR="00317BBA" w:rsidRDefault="00317BBA" w:rsidP="00673C60">
            <w:r>
              <w:t>1.379</w:t>
            </w:r>
          </w:p>
        </w:tc>
        <w:tc>
          <w:tcPr>
            <w:tcW w:w="1331" w:type="dxa"/>
          </w:tcPr>
          <w:p w14:paraId="551D9CBD" w14:textId="77777777" w:rsidR="00317BBA" w:rsidRDefault="00317BBA" w:rsidP="00673C60">
            <w:r>
              <w:t>5.129</w:t>
            </w:r>
          </w:p>
        </w:tc>
        <w:tc>
          <w:tcPr>
            <w:tcW w:w="1331" w:type="dxa"/>
          </w:tcPr>
          <w:p w14:paraId="6C12D55A" w14:textId="77777777" w:rsidR="00317BBA" w:rsidRDefault="00317BBA" w:rsidP="00673C60">
            <w:r>
              <w:t>6.639</w:t>
            </w:r>
          </w:p>
        </w:tc>
        <w:tc>
          <w:tcPr>
            <w:tcW w:w="1331" w:type="dxa"/>
          </w:tcPr>
          <w:p w14:paraId="298FBD9B" w14:textId="77777777" w:rsidR="00317BBA" w:rsidRDefault="00317BBA" w:rsidP="00673C60">
            <w:r>
              <w:t>6.969</w:t>
            </w:r>
          </w:p>
        </w:tc>
        <w:tc>
          <w:tcPr>
            <w:tcW w:w="1331" w:type="dxa"/>
          </w:tcPr>
          <w:p w14:paraId="0A69A9F8" w14:textId="77777777" w:rsidR="00317BBA" w:rsidRDefault="00317BBA" w:rsidP="00673C60">
            <w:r>
              <w:t>8.579</w:t>
            </w:r>
          </w:p>
        </w:tc>
        <w:tc>
          <w:tcPr>
            <w:tcW w:w="1412" w:type="dxa"/>
          </w:tcPr>
          <w:p w14:paraId="12AA4D96" w14:textId="77777777" w:rsidR="00317BBA" w:rsidRDefault="00317BBA" w:rsidP="00673C60">
            <w:r>
              <w:t>9.495</w:t>
            </w:r>
          </w:p>
        </w:tc>
      </w:tr>
      <w:tr w:rsidR="00317BBA" w14:paraId="4910400E" w14:textId="77777777" w:rsidTr="00673C60">
        <w:trPr>
          <w:trHeight w:val="230"/>
        </w:trPr>
        <w:tc>
          <w:tcPr>
            <w:tcW w:w="1376" w:type="dxa"/>
          </w:tcPr>
          <w:p w14:paraId="08056970" w14:textId="77777777" w:rsidR="00317BBA" w:rsidRDefault="00317BBA" w:rsidP="00673C60">
            <w:proofErr w:type="spellStart"/>
            <w:r>
              <w:t>Equil</w:t>
            </w:r>
            <w:proofErr w:type="spellEnd"/>
            <w:r>
              <w:t xml:space="preserve">. SCN ion </w:t>
            </w:r>
            <w:proofErr w:type="spellStart"/>
            <w:r>
              <w:t>conc</w:t>
            </w:r>
            <w:proofErr w:type="spellEnd"/>
            <w:r>
              <w:t xml:space="preserve"> (M)</w:t>
            </w:r>
          </w:p>
        </w:tc>
        <w:tc>
          <w:tcPr>
            <w:tcW w:w="1331" w:type="dxa"/>
          </w:tcPr>
          <w:p w14:paraId="52AAA642" w14:textId="77777777" w:rsidR="00317BBA" w:rsidRDefault="00317BBA" w:rsidP="00673C60">
            <w:r>
              <w:t>1.379</w:t>
            </w:r>
          </w:p>
        </w:tc>
        <w:tc>
          <w:tcPr>
            <w:tcW w:w="1331" w:type="dxa"/>
          </w:tcPr>
          <w:p w14:paraId="77B91122" w14:textId="77777777" w:rsidR="00317BBA" w:rsidRDefault="00317BBA" w:rsidP="00673C60">
            <w:r>
              <w:t>5.129</w:t>
            </w:r>
          </w:p>
        </w:tc>
        <w:tc>
          <w:tcPr>
            <w:tcW w:w="1331" w:type="dxa"/>
          </w:tcPr>
          <w:p w14:paraId="11D3396B" w14:textId="77777777" w:rsidR="00317BBA" w:rsidRDefault="00317BBA" w:rsidP="00673C60">
            <w:r>
              <w:t>6.639</w:t>
            </w:r>
          </w:p>
        </w:tc>
        <w:tc>
          <w:tcPr>
            <w:tcW w:w="1331" w:type="dxa"/>
          </w:tcPr>
          <w:p w14:paraId="6F4E7F48" w14:textId="77777777" w:rsidR="00317BBA" w:rsidRDefault="00317BBA" w:rsidP="00673C60">
            <w:r>
              <w:t>6.969</w:t>
            </w:r>
          </w:p>
        </w:tc>
        <w:tc>
          <w:tcPr>
            <w:tcW w:w="1331" w:type="dxa"/>
          </w:tcPr>
          <w:p w14:paraId="3175DCF3" w14:textId="77777777" w:rsidR="00317BBA" w:rsidRDefault="00317BBA" w:rsidP="00673C60">
            <w:r>
              <w:t>8.579</w:t>
            </w:r>
          </w:p>
        </w:tc>
        <w:tc>
          <w:tcPr>
            <w:tcW w:w="1412" w:type="dxa"/>
          </w:tcPr>
          <w:p w14:paraId="11AA306B" w14:textId="77777777" w:rsidR="00317BBA" w:rsidRDefault="00317BBA" w:rsidP="00673C60">
            <w:r>
              <w:t>9.495</w:t>
            </w:r>
          </w:p>
        </w:tc>
      </w:tr>
      <w:tr w:rsidR="00317BBA" w14:paraId="7E73DD1F" w14:textId="77777777" w:rsidTr="00673C60">
        <w:trPr>
          <w:trHeight w:val="230"/>
        </w:trPr>
        <w:tc>
          <w:tcPr>
            <w:tcW w:w="1376" w:type="dxa"/>
          </w:tcPr>
          <w:p w14:paraId="0F7621FF" w14:textId="77777777" w:rsidR="00317BBA" w:rsidRDefault="00317BBA" w:rsidP="00673C60">
            <w:proofErr w:type="spellStart"/>
            <w:r>
              <w:t>Equil</w:t>
            </w:r>
            <w:proofErr w:type="spellEnd"/>
            <w:r>
              <w:t xml:space="preserve">. Constant, </w:t>
            </w:r>
            <w:proofErr w:type="spellStart"/>
            <w:r>
              <w:t>K</w:t>
            </w:r>
            <w:r>
              <w:rPr>
                <w:vertAlign w:val="subscript"/>
              </w:rPr>
              <w:t>eq</w:t>
            </w:r>
            <w:proofErr w:type="spellEnd"/>
          </w:p>
        </w:tc>
        <w:tc>
          <w:tcPr>
            <w:tcW w:w="1331" w:type="dxa"/>
          </w:tcPr>
          <w:p w14:paraId="4202DCFF" w14:textId="77777777" w:rsidR="00317BBA" w:rsidRDefault="00317BBA" w:rsidP="00673C60">
            <w:r>
              <w:t>0</w:t>
            </w:r>
          </w:p>
        </w:tc>
        <w:tc>
          <w:tcPr>
            <w:tcW w:w="1331" w:type="dxa"/>
          </w:tcPr>
          <w:p w14:paraId="02E506AC" w14:textId="77777777" w:rsidR="00317BBA" w:rsidRDefault="00317BBA" w:rsidP="00673C60">
            <w:r>
              <w:t>4.2</w:t>
            </w:r>
          </w:p>
        </w:tc>
        <w:tc>
          <w:tcPr>
            <w:tcW w:w="1331" w:type="dxa"/>
          </w:tcPr>
          <w:p w14:paraId="273D9468" w14:textId="77777777" w:rsidR="00317BBA" w:rsidRDefault="00317BBA" w:rsidP="00673C60">
            <w:r>
              <w:t>3.84</w:t>
            </w:r>
          </w:p>
        </w:tc>
        <w:tc>
          <w:tcPr>
            <w:tcW w:w="1331" w:type="dxa"/>
          </w:tcPr>
          <w:p w14:paraId="00731BCD" w14:textId="77777777" w:rsidR="00317BBA" w:rsidRDefault="00317BBA" w:rsidP="00673C60">
            <w:r>
              <w:t>3.63</w:t>
            </w:r>
          </w:p>
        </w:tc>
        <w:tc>
          <w:tcPr>
            <w:tcW w:w="1331" w:type="dxa"/>
          </w:tcPr>
          <w:p w14:paraId="5AFE2C90" w14:textId="77777777" w:rsidR="00317BBA" w:rsidRDefault="00317BBA" w:rsidP="00673C60">
            <w:r>
              <w:t>3.4</w:t>
            </w:r>
          </w:p>
        </w:tc>
        <w:tc>
          <w:tcPr>
            <w:tcW w:w="1412" w:type="dxa"/>
          </w:tcPr>
          <w:p w14:paraId="640066C7" w14:textId="77777777" w:rsidR="00317BBA" w:rsidRDefault="00317BBA" w:rsidP="00673C60">
            <w:r>
              <w:t>3.25</w:t>
            </w:r>
          </w:p>
        </w:tc>
      </w:tr>
      <w:tr w:rsidR="00317BBA" w14:paraId="36CA4B54" w14:textId="77777777" w:rsidTr="00673C60">
        <w:trPr>
          <w:trHeight w:val="230"/>
        </w:trPr>
        <w:tc>
          <w:tcPr>
            <w:tcW w:w="1376" w:type="dxa"/>
          </w:tcPr>
          <w:p w14:paraId="3DF6DFA1" w14:textId="77777777" w:rsidR="00317BBA" w:rsidRPr="00612B91" w:rsidRDefault="00317BBA" w:rsidP="00673C60">
            <w:r>
              <w:t xml:space="preserve">Mean </w:t>
            </w:r>
            <w:proofErr w:type="spellStart"/>
            <w:r>
              <w:t>K</w:t>
            </w:r>
            <w:r>
              <w:rPr>
                <w:vertAlign w:val="subscript"/>
              </w:rPr>
              <w:t>eq</w:t>
            </w:r>
            <w:proofErr w:type="spellEnd"/>
          </w:p>
        </w:tc>
        <w:tc>
          <w:tcPr>
            <w:tcW w:w="1331" w:type="dxa"/>
          </w:tcPr>
          <w:p w14:paraId="42EDF695" w14:textId="77777777" w:rsidR="00317BBA" w:rsidRDefault="00317BBA" w:rsidP="00673C60">
            <w:r>
              <w:t>3.05</w:t>
            </w:r>
          </w:p>
        </w:tc>
        <w:tc>
          <w:tcPr>
            <w:tcW w:w="1331" w:type="dxa"/>
          </w:tcPr>
          <w:p w14:paraId="3E199CD4" w14:textId="77777777" w:rsidR="00317BBA" w:rsidRDefault="00317BBA" w:rsidP="00673C60"/>
        </w:tc>
        <w:tc>
          <w:tcPr>
            <w:tcW w:w="1331" w:type="dxa"/>
          </w:tcPr>
          <w:p w14:paraId="77A23DAA" w14:textId="77777777" w:rsidR="00317BBA" w:rsidRDefault="00317BBA" w:rsidP="00673C60"/>
        </w:tc>
        <w:tc>
          <w:tcPr>
            <w:tcW w:w="1331" w:type="dxa"/>
          </w:tcPr>
          <w:p w14:paraId="26249BFE" w14:textId="77777777" w:rsidR="00317BBA" w:rsidRDefault="00317BBA" w:rsidP="00673C60"/>
        </w:tc>
        <w:tc>
          <w:tcPr>
            <w:tcW w:w="1331" w:type="dxa"/>
          </w:tcPr>
          <w:p w14:paraId="65813537" w14:textId="77777777" w:rsidR="00317BBA" w:rsidRDefault="00317BBA" w:rsidP="00673C60"/>
        </w:tc>
        <w:tc>
          <w:tcPr>
            <w:tcW w:w="1412" w:type="dxa"/>
          </w:tcPr>
          <w:p w14:paraId="28E365EF" w14:textId="77777777" w:rsidR="00317BBA" w:rsidRDefault="00317BBA" w:rsidP="00673C60"/>
        </w:tc>
      </w:tr>
    </w:tbl>
    <w:p w14:paraId="09B8B6A0" w14:textId="27E203AC" w:rsidR="00317BBA" w:rsidRDefault="00673C60" w:rsidP="008A422A">
      <w:pPr>
        <w:spacing w:after="0"/>
      </w:pPr>
      <w:r>
        <w:lastRenderedPageBreak/>
        <w:br w:type="textWrapping" w:clear="all"/>
      </w:r>
    </w:p>
    <w:p w14:paraId="0E42DB30" w14:textId="77777777" w:rsidR="00317BBA" w:rsidRDefault="00317BBA" w:rsidP="008A422A">
      <w:pPr>
        <w:spacing w:after="0"/>
      </w:pPr>
    </w:p>
    <w:p w14:paraId="35DF89B8" w14:textId="77777777" w:rsidR="00317BBA" w:rsidRDefault="00317BBA" w:rsidP="008A422A">
      <w:pPr>
        <w:spacing w:after="0"/>
      </w:pPr>
    </w:p>
    <w:p w14:paraId="5BB3240B" w14:textId="77777777" w:rsidR="00317BBA" w:rsidRPr="008A422A" w:rsidRDefault="00317BBA" w:rsidP="008A422A">
      <w:pPr>
        <w:spacing w:after="0"/>
      </w:pPr>
    </w:p>
    <w:p w14:paraId="027AAFCA" w14:textId="5199CD7F" w:rsidR="008A422A" w:rsidRPr="00B11D2B" w:rsidRDefault="008A422A" w:rsidP="008A422A">
      <w:pPr>
        <w:pStyle w:val="ListParagraph"/>
        <w:numPr>
          <w:ilvl w:val="0"/>
          <w:numId w:val="1"/>
        </w:numPr>
        <w:spacing w:after="0" w:line="276" w:lineRule="auto"/>
        <w:rPr>
          <w:highlight w:val="yellow"/>
        </w:rPr>
      </w:pPr>
      <w:r w:rsidRPr="00B11D2B">
        <w:rPr>
          <w:highlight w:val="yellow"/>
        </w:rPr>
        <w:t xml:space="preserve">Briefly explain why the concentration of ferric nitrate was 100-fold higher when the solutions for the Beer’s law plot were prepared (Table 1) vs. the equilibrium solutions of Table 2.  </w:t>
      </w:r>
    </w:p>
    <w:p w14:paraId="37B67A2D" w14:textId="77777777" w:rsidR="008A422A" w:rsidRPr="008A422A" w:rsidRDefault="008A422A" w:rsidP="008A422A">
      <w:pPr>
        <w:spacing w:after="0"/>
      </w:pPr>
    </w:p>
    <w:p w14:paraId="6E79E71D" w14:textId="77777777" w:rsidR="008A422A" w:rsidRPr="008A422A" w:rsidRDefault="008A422A" w:rsidP="008A422A">
      <w:pPr>
        <w:spacing w:after="0"/>
      </w:pPr>
    </w:p>
    <w:p w14:paraId="55A4416A" w14:textId="77777777" w:rsidR="008A422A" w:rsidRPr="008A422A" w:rsidRDefault="008A422A" w:rsidP="008A422A">
      <w:pPr>
        <w:spacing w:after="0"/>
      </w:pPr>
    </w:p>
    <w:p w14:paraId="196E5F58" w14:textId="77777777" w:rsidR="008A422A" w:rsidRPr="008A422A" w:rsidRDefault="008A422A" w:rsidP="008A422A">
      <w:pPr>
        <w:spacing w:after="0"/>
      </w:pPr>
    </w:p>
    <w:p w14:paraId="3A4C72A9" w14:textId="77777777" w:rsidR="008A422A" w:rsidRPr="008A422A" w:rsidRDefault="008A422A" w:rsidP="008A422A">
      <w:pPr>
        <w:spacing w:after="0"/>
      </w:pPr>
    </w:p>
    <w:p w14:paraId="21D78002" w14:textId="77777777" w:rsidR="008A422A" w:rsidRPr="008A422A" w:rsidRDefault="008A422A" w:rsidP="008A422A">
      <w:pPr>
        <w:spacing w:after="0"/>
      </w:pPr>
    </w:p>
    <w:p w14:paraId="6356928F" w14:textId="77777777" w:rsidR="008A422A" w:rsidRPr="008A422A" w:rsidRDefault="008A422A" w:rsidP="008A422A">
      <w:pPr>
        <w:spacing w:after="0"/>
      </w:pPr>
    </w:p>
    <w:p w14:paraId="0B415CE2" w14:textId="77777777" w:rsidR="008A422A" w:rsidRPr="008A422A" w:rsidRDefault="008A422A" w:rsidP="008A422A">
      <w:pPr>
        <w:spacing w:after="0"/>
      </w:pPr>
    </w:p>
    <w:p w14:paraId="6594F0EA" w14:textId="77777777" w:rsidR="008A422A" w:rsidRPr="008A422A" w:rsidRDefault="008A422A" w:rsidP="008A422A">
      <w:pPr>
        <w:pStyle w:val="ListParagraph"/>
        <w:numPr>
          <w:ilvl w:val="0"/>
          <w:numId w:val="1"/>
        </w:numPr>
        <w:spacing w:after="100" w:afterAutospacing="1" w:line="276" w:lineRule="auto"/>
      </w:pPr>
      <w:r w:rsidRPr="008A422A">
        <w:t xml:space="preserve">Briefly explain what effect (if any) each of the following errors would have on the indicated parameter.  Indicate if the new value would be increased, decreased, or remain the same.  </w:t>
      </w:r>
    </w:p>
    <w:p w14:paraId="1DEB1E4C" w14:textId="77777777" w:rsidR="008A422A" w:rsidRPr="008A422A" w:rsidRDefault="008A422A" w:rsidP="008A422A">
      <w:pPr>
        <w:pStyle w:val="ListParagraph"/>
        <w:numPr>
          <w:ilvl w:val="0"/>
          <w:numId w:val="2"/>
        </w:numPr>
        <w:spacing w:after="100" w:afterAutospacing="1" w:line="276" w:lineRule="auto"/>
      </w:pPr>
      <w:r w:rsidRPr="008A422A">
        <w:t xml:space="preserve">The cuvette for the </w:t>
      </w:r>
      <w:proofErr w:type="spellStart"/>
      <w:r w:rsidRPr="008A422A">
        <w:t>Std</w:t>
      </w:r>
      <w:proofErr w:type="spellEnd"/>
      <w:r w:rsidRPr="008A422A">
        <w:t xml:space="preserve"> 4 solution was accidentally inserted the wrong way into the cuvette holder and the light path was reduced from 1 cm to 0.5 cm.  </w:t>
      </w:r>
    </w:p>
    <w:p w14:paraId="5FF6028E" w14:textId="1E2AF334" w:rsidR="008A422A" w:rsidRPr="008A422A" w:rsidRDefault="008A422A" w:rsidP="008A422A">
      <w:pPr>
        <w:pStyle w:val="ListParagraph"/>
        <w:numPr>
          <w:ilvl w:val="1"/>
          <w:numId w:val="2"/>
        </w:numPr>
        <w:spacing w:after="0" w:line="276" w:lineRule="auto"/>
      </w:pPr>
      <w:r w:rsidRPr="008A422A">
        <w:t>What effect would this have on the recorded absorbance of Std. 4</w:t>
      </w:r>
      <w:r w:rsidR="00B11D2B">
        <w:t>?</w:t>
      </w:r>
    </w:p>
    <w:p w14:paraId="7BCCDD38" w14:textId="0DD4258F" w:rsidR="008A422A" w:rsidRPr="008A422A" w:rsidRDefault="008E410E" w:rsidP="008E410E">
      <w:pPr>
        <w:spacing w:after="0"/>
        <w:ind w:left="2160"/>
      </w:pPr>
      <w:r>
        <w:t>The effect that it would have would be that the absorbance value would decrease.</w:t>
      </w:r>
    </w:p>
    <w:p w14:paraId="7D4FB32A" w14:textId="77777777" w:rsidR="008A422A" w:rsidRPr="008A422A" w:rsidRDefault="008A422A" w:rsidP="008A422A">
      <w:pPr>
        <w:spacing w:after="0"/>
      </w:pPr>
    </w:p>
    <w:p w14:paraId="75993BFB" w14:textId="77777777" w:rsidR="008A422A" w:rsidRPr="008A422A" w:rsidRDefault="008A422A" w:rsidP="008A422A">
      <w:pPr>
        <w:spacing w:after="0"/>
      </w:pPr>
    </w:p>
    <w:p w14:paraId="129EF16A" w14:textId="16DFA332" w:rsidR="008A422A" w:rsidRPr="008A422A" w:rsidRDefault="008A422A" w:rsidP="008A422A">
      <w:pPr>
        <w:pStyle w:val="ListParagraph"/>
        <w:numPr>
          <w:ilvl w:val="1"/>
          <w:numId w:val="2"/>
        </w:numPr>
        <w:spacing w:after="0" w:line="276" w:lineRule="auto"/>
      </w:pPr>
      <w:r w:rsidRPr="008A422A">
        <w:t xml:space="preserve">The mistake was realized after the solutions had already been discarded.  Your lab partner Bob suggested just eliminating the S4 data point from the Beer’s Law plot to make it more accurate since you didn’t really need it anyway.   Do you agree with Bob?  </w:t>
      </w:r>
    </w:p>
    <w:p w14:paraId="76A03244" w14:textId="2BA770A9" w:rsidR="008A422A" w:rsidRPr="008A422A" w:rsidRDefault="00B11D2B" w:rsidP="00B11D2B">
      <w:pPr>
        <w:spacing w:after="0"/>
        <w:ind w:left="2160"/>
      </w:pPr>
      <w:r>
        <w:t xml:space="preserve">No, the S4 data point would make a difference and it should be done again to have accurate results. </w:t>
      </w:r>
    </w:p>
    <w:p w14:paraId="7AB554D5" w14:textId="77777777" w:rsidR="008A422A" w:rsidRPr="008A422A" w:rsidRDefault="008A422A" w:rsidP="008A422A">
      <w:pPr>
        <w:spacing w:after="0"/>
      </w:pPr>
    </w:p>
    <w:p w14:paraId="095F955D" w14:textId="77777777" w:rsidR="008A422A" w:rsidRPr="008A422A" w:rsidRDefault="008A422A" w:rsidP="008A422A">
      <w:pPr>
        <w:spacing w:after="0"/>
      </w:pPr>
    </w:p>
    <w:p w14:paraId="32F1C383" w14:textId="77777777" w:rsidR="008A422A" w:rsidRPr="00B11D2B" w:rsidRDefault="008A422A" w:rsidP="008A422A">
      <w:pPr>
        <w:pStyle w:val="ListParagraph"/>
        <w:numPr>
          <w:ilvl w:val="0"/>
          <w:numId w:val="2"/>
        </w:numPr>
        <w:spacing w:after="0" w:line="276" w:lineRule="auto"/>
        <w:rPr>
          <w:highlight w:val="yellow"/>
        </w:rPr>
      </w:pPr>
      <w:r w:rsidRPr="00B11D2B">
        <w:rPr>
          <w:highlight w:val="yellow"/>
        </w:rPr>
        <w:t xml:space="preserve">The volumes of </w:t>
      </w:r>
      <w:proofErr w:type="gramStart"/>
      <w:r w:rsidRPr="00B11D2B">
        <w:rPr>
          <w:highlight w:val="yellow"/>
        </w:rPr>
        <w:t>Fe(</w:t>
      </w:r>
      <w:proofErr w:type="gramEnd"/>
      <w:r w:rsidRPr="00B11D2B">
        <w:rPr>
          <w:highlight w:val="yellow"/>
        </w:rPr>
        <w:t>NO</w:t>
      </w:r>
      <w:r w:rsidRPr="00B11D2B">
        <w:rPr>
          <w:highlight w:val="yellow"/>
          <w:vertAlign w:val="subscript"/>
        </w:rPr>
        <w:t>3</w:t>
      </w:r>
      <w:r w:rsidRPr="00B11D2B">
        <w:rPr>
          <w:highlight w:val="yellow"/>
        </w:rPr>
        <w:t>)</w:t>
      </w:r>
      <w:r w:rsidRPr="00B11D2B">
        <w:rPr>
          <w:highlight w:val="yellow"/>
          <w:vertAlign w:val="subscript"/>
        </w:rPr>
        <w:t>3</w:t>
      </w:r>
      <w:r w:rsidRPr="00B11D2B">
        <w:rPr>
          <w:highlight w:val="yellow"/>
        </w:rPr>
        <w:t xml:space="preserve"> and </w:t>
      </w:r>
      <w:proofErr w:type="spellStart"/>
      <w:r w:rsidRPr="00B11D2B">
        <w:rPr>
          <w:highlight w:val="yellow"/>
        </w:rPr>
        <w:t>NaSCN</w:t>
      </w:r>
      <w:proofErr w:type="spellEnd"/>
      <w:r w:rsidRPr="00B11D2B">
        <w:rPr>
          <w:highlight w:val="yellow"/>
        </w:rPr>
        <w:t xml:space="preserve"> were mistakenly reduced by 5% when preparing the standard solutions for the Beer’s Law plot but the total solution volumes remained the same.  How would this affect each of the following?  Assume that the error is known and calculations can be adjusted if possible.   </w:t>
      </w:r>
    </w:p>
    <w:p w14:paraId="7FE6514D" w14:textId="45F9AFF2" w:rsidR="008A422A" w:rsidRPr="00B11D2B" w:rsidRDefault="008A422A" w:rsidP="008A422A">
      <w:pPr>
        <w:pStyle w:val="ListParagraph"/>
        <w:numPr>
          <w:ilvl w:val="1"/>
          <w:numId w:val="2"/>
        </w:numPr>
        <w:spacing w:after="0" w:line="276" w:lineRule="auto"/>
        <w:rPr>
          <w:highlight w:val="yellow"/>
        </w:rPr>
      </w:pPr>
      <w:r w:rsidRPr="00B11D2B">
        <w:rPr>
          <w:highlight w:val="yellow"/>
        </w:rPr>
        <w:t>The calculated initial SCN</w:t>
      </w:r>
      <w:r w:rsidRPr="00B11D2B">
        <w:rPr>
          <w:highlight w:val="yellow"/>
          <w:vertAlign w:val="superscript"/>
        </w:rPr>
        <w:t>-</w:t>
      </w:r>
      <w:r w:rsidRPr="00B11D2B">
        <w:rPr>
          <w:highlight w:val="yellow"/>
        </w:rPr>
        <w:t xml:space="preserve"> ion concentration   </w:t>
      </w:r>
    </w:p>
    <w:p w14:paraId="41C9F993" w14:textId="77777777" w:rsidR="008A422A" w:rsidRPr="008A422A" w:rsidRDefault="008A422A" w:rsidP="008A422A">
      <w:pPr>
        <w:pStyle w:val="ListParagraph"/>
        <w:spacing w:after="0"/>
        <w:ind w:left="1800"/>
        <w:rPr>
          <w:i/>
          <w:color w:val="FF0000"/>
          <w:highlight w:val="yellow"/>
        </w:rPr>
      </w:pPr>
    </w:p>
    <w:p w14:paraId="7C7846F4" w14:textId="77777777" w:rsidR="008A422A" w:rsidRDefault="008A422A" w:rsidP="008A422A">
      <w:pPr>
        <w:pStyle w:val="ListParagraph"/>
        <w:spacing w:after="0"/>
        <w:ind w:left="1800"/>
        <w:rPr>
          <w:i/>
          <w:color w:val="FF0000"/>
          <w:highlight w:val="yellow"/>
        </w:rPr>
      </w:pPr>
    </w:p>
    <w:p w14:paraId="2D46F494" w14:textId="77777777" w:rsidR="008A422A" w:rsidRDefault="008A422A" w:rsidP="008A422A">
      <w:pPr>
        <w:pStyle w:val="ListParagraph"/>
        <w:spacing w:after="0"/>
        <w:ind w:left="1800"/>
        <w:rPr>
          <w:i/>
          <w:color w:val="FF0000"/>
          <w:highlight w:val="yellow"/>
        </w:rPr>
      </w:pPr>
    </w:p>
    <w:p w14:paraId="1621A803" w14:textId="77777777" w:rsidR="008A422A" w:rsidRPr="008A422A" w:rsidRDefault="008A422A" w:rsidP="008A422A">
      <w:pPr>
        <w:pStyle w:val="ListParagraph"/>
        <w:spacing w:after="0"/>
        <w:ind w:left="1800"/>
        <w:rPr>
          <w:i/>
          <w:color w:val="FF0000"/>
          <w:highlight w:val="yellow"/>
        </w:rPr>
      </w:pPr>
    </w:p>
    <w:p w14:paraId="24373131" w14:textId="77777777" w:rsidR="008A422A" w:rsidRPr="008A422A" w:rsidRDefault="008A422A" w:rsidP="008A422A">
      <w:pPr>
        <w:pStyle w:val="ListParagraph"/>
        <w:spacing w:after="0"/>
        <w:ind w:left="1800"/>
        <w:rPr>
          <w:i/>
          <w:color w:val="FF0000"/>
          <w:highlight w:val="yellow"/>
        </w:rPr>
      </w:pPr>
    </w:p>
    <w:p w14:paraId="7466DDD1" w14:textId="146D73A1" w:rsidR="008A422A" w:rsidRPr="00B11D2B" w:rsidRDefault="008A422A" w:rsidP="008A422A">
      <w:pPr>
        <w:pStyle w:val="ListParagraph"/>
        <w:numPr>
          <w:ilvl w:val="0"/>
          <w:numId w:val="1"/>
        </w:numPr>
        <w:spacing w:after="0" w:line="276" w:lineRule="auto"/>
        <w:rPr>
          <w:highlight w:val="yellow"/>
        </w:rPr>
      </w:pPr>
      <w:r w:rsidRPr="00B11D2B">
        <w:rPr>
          <w:highlight w:val="yellow"/>
        </w:rPr>
        <w:lastRenderedPageBreak/>
        <w:t>The equation for a Beer’s Law plot is y = 2012.5x + 0.003.  If the recorded absorbance for an equilibrium mixture is 0.362, what is the concentration of FeCNS</w:t>
      </w:r>
      <w:r w:rsidRPr="00B11D2B">
        <w:rPr>
          <w:highlight w:val="yellow"/>
          <w:vertAlign w:val="superscript"/>
        </w:rPr>
        <w:t>2+</w:t>
      </w:r>
      <w:r w:rsidRPr="00B11D2B">
        <w:rPr>
          <w:highlight w:val="yellow"/>
        </w:rPr>
        <w:t xml:space="preserve"> (aq)? </w:t>
      </w:r>
    </w:p>
    <w:p w14:paraId="2958A3E5" w14:textId="77777777" w:rsidR="008A422A" w:rsidRPr="008A422A" w:rsidRDefault="008A422A" w:rsidP="008A422A">
      <w:pPr>
        <w:pStyle w:val="ListParagraph"/>
        <w:spacing w:after="0"/>
        <w:ind w:left="1800"/>
      </w:pPr>
    </w:p>
    <w:p w14:paraId="48946387" w14:textId="77777777" w:rsidR="008A422A" w:rsidRPr="008A422A" w:rsidRDefault="008A422A" w:rsidP="008A422A">
      <w:pPr>
        <w:pStyle w:val="ListParagraph"/>
        <w:spacing w:after="0"/>
        <w:ind w:left="1800"/>
      </w:pPr>
    </w:p>
    <w:p w14:paraId="7FBB1BFD" w14:textId="77777777" w:rsidR="008A422A" w:rsidRPr="008A422A" w:rsidRDefault="008A422A" w:rsidP="008A422A">
      <w:pPr>
        <w:spacing w:after="0"/>
      </w:pPr>
    </w:p>
    <w:p w14:paraId="482DB2F8" w14:textId="77777777" w:rsidR="008A422A" w:rsidRPr="008A422A" w:rsidRDefault="008A422A" w:rsidP="008A422A">
      <w:pPr>
        <w:spacing w:after="0"/>
      </w:pPr>
    </w:p>
    <w:p w14:paraId="1C37A9E4" w14:textId="77777777" w:rsidR="008A422A" w:rsidRPr="008A422A" w:rsidRDefault="008A422A" w:rsidP="008A422A">
      <w:pPr>
        <w:spacing w:after="0"/>
      </w:pPr>
    </w:p>
    <w:p w14:paraId="1E7D427B" w14:textId="77777777" w:rsidR="008A422A" w:rsidRDefault="008A422A" w:rsidP="008A422A">
      <w:pPr>
        <w:spacing w:after="0"/>
      </w:pPr>
    </w:p>
    <w:p w14:paraId="466C3A6E" w14:textId="77777777" w:rsidR="008A422A" w:rsidRDefault="008A422A" w:rsidP="008A422A">
      <w:pPr>
        <w:spacing w:after="0"/>
      </w:pPr>
    </w:p>
    <w:p w14:paraId="410A6E52" w14:textId="77777777" w:rsidR="008A422A" w:rsidRPr="008A422A" w:rsidRDefault="008A422A" w:rsidP="008A422A">
      <w:pPr>
        <w:spacing w:after="0"/>
      </w:pPr>
    </w:p>
    <w:p w14:paraId="483709E5" w14:textId="77777777" w:rsidR="008A422A" w:rsidRPr="008A422A" w:rsidRDefault="008A422A" w:rsidP="008A422A">
      <w:pPr>
        <w:spacing w:after="0"/>
      </w:pPr>
    </w:p>
    <w:p w14:paraId="02836253" w14:textId="77777777" w:rsidR="008A422A" w:rsidRPr="008A422A" w:rsidRDefault="008A422A" w:rsidP="008A422A">
      <w:pPr>
        <w:spacing w:after="0"/>
      </w:pPr>
    </w:p>
    <w:p w14:paraId="425FB92B" w14:textId="564094B2" w:rsidR="008A422A" w:rsidRPr="008A422A" w:rsidRDefault="008A422A" w:rsidP="008A422A">
      <w:pPr>
        <w:pStyle w:val="ListParagraph"/>
        <w:numPr>
          <w:ilvl w:val="0"/>
          <w:numId w:val="1"/>
        </w:numPr>
        <w:spacing w:after="0" w:line="276" w:lineRule="auto"/>
      </w:pPr>
      <w:r w:rsidRPr="008A422A">
        <w:t xml:space="preserve"> </w:t>
      </w:r>
      <w:r w:rsidRPr="00B11D2B">
        <w:rPr>
          <w:highlight w:val="yellow"/>
        </w:rPr>
        <w:t xml:space="preserve">You‘re preparing the solutions for this lab and realize that you don’t have any sodium thiocyanate but you do have some potassium thiocyanate.  Can you substitute the potassium thiocyanate for the sodium thiocyanate without any problems?  Briefly explain your answer. </w:t>
      </w:r>
      <w:bookmarkStart w:id="0" w:name="_GoBack"/>
      <w:bookmarkEnd w:id="0"/>
    </w:p>
    <w:p w14:paraId="6D4F6DA4" w14:textId="77777777" w:rsidR="008A422A" w:rsidRPr="008A422A" w:rsidRDefault="008A422A" w:rsidP="008A422A">
      <w:pPr>
        <w:spacing w:after="0"/>
      </w:pPr>
    </w:p>
    <w:p w14:paraId="1B2E24FE" w14:textId="77777777" w:rsidR="008A422A" w:rsidRPr="008A422A" w:rsidRDefault="008A422A" w:rsidP="008A422A">
      <w:pPr>
        <w:spacing w:after="0"/>
      </w:pPr>
    </w:p>
    <w:p w14:paraId="544DD3DA" w14:textId="77777777" w:rsidR="008A422A" w:rsidRPr="008A422A" w:rsidRDefault="008A422A" w:rsidP="008A422A">
      <w:pPr>
        <w:spacing w:after="0"/>
      </w:pPr>
    </w:p>
    <w:p w14:paraId="48C53926" w14:textId="77777777" w:rsidR="008A422A" w:rsidRPr="008A422A" w:rsidRDefault="008A422A" w:rsidP="008A422A">
      <w:pPr>
        <w:spacing w:after="0"/>
      </w:pPr>
    </w:p>
    <w:p w14:paraId="512E304F" w14:textId="77777777" w:rsidR="008A422A" w:rsidRPr="008A422A" w:rsidRDefault="008A422A" w:rsidP="008A422A">
      <w:pPr>
        <w:pStyle w:val="ListParagraph"/>
      </w:pPr>
    </w:p>
    <w:p w14:paraId="740027CE" w14:textId="77777777" w:rsidR="008A422A" w:rsidRPr="008A422A" w:rsidRDefault="008A422A" w:rsidP="008A422A">
      <w:pPr>
        <w:pStyle w:val="ListParagraph"/>
        <w:spacing w:after="0"/>
        <w:ind w:firstLine="720"/>
        <w:rPr>
          <w:i/>
          <w:color w:val="FF0000"/>
        </w:rPr>
      </w:pPr>
    </w:p>
    <w:p w14:paraId="4503F343" w14:textId="77777777" w:rsidR="008A422A" w:rsidRPr="008A422A" w:rsidRDefault="008A422A" w:rsidP="008A422A">
      <w:pPr>
        <w:spacing w:after="0"/>
      </w:pPr>
    </w:p>
    <w:p w14:paraId="43981AB2" w14:textId="77777777" w:rsidR="008A422A" w:rsidRPr="008A422A" w:rsidRDefault="008A422A" w:rsidP="008A422A">
      <w:pPr>
        <w:spacing w:after="0"/>
      </w:pPr>
    </w:p>
    <w:p w14:paraId="3D44F1D6" w14:textId="77777777" w:rsidR="008A422A" w:rsidRPr="008A422A" w:rsidRDefault="008A422A" w:rsidP="008A422A">
      <w:pPr>
        <w:spacing w:after="0"/>
      </w:pPr>
    </w:p>
    <w:p w14:paraId="18FE6A0C" w14:textId="77777777" w:rsidR="008A422A" w:rsidRPr="008A422A" w:rsidRDefault="008A422A" w:rsidP="008A422A">
      <w:pPr>
        <w:spacing w:after="0"/>
        <w:ind w:left="360"/>
      </w:pPr>
    </w:p>
    <w:p w14:paraId="733716E3" w14:textId="77777777" w:rsidR="008A422A" w:rsidRPr="008A422A" w:rsidRDefault="008A422A" w:rsidP="008A422A"/>
    <w:p w14:paraId="2375FC13" w14:textId="77777777" w:rsidR="00934F46" w:rsidRPr="008A422A" w:rsidRDefault="00934F46"/>
    <w:sectPr w:rsidR="00934F46" w:rsidRPr="008A422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18029" w14:textId="77777777" w:rsidR="008E410E" w:rsidRDefault="008E410E">
      <w:pPr>
        <w:spacing w:after="0" w:line="240" w:lineRule="auto"/>
      </w:pPr>
      <w:r>
        <w:separator/>
      </w:r>
    </w:p>
  </w:endnote>
  <w:endnote w:type="continuationSeparator" w:id="0">
    <w:p w14:paraId="55B9445F" w14:textId="77777777" w:rsidR="008E410E" w:rsidRDefault="008E4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608927"/>
      <w:docPartObj>
        <w:docPartGallery w:val="Page Numbers (Bottom of Page)"/>
        <w:docPartUnique/>
      </w:docPartObj>
    </w:sdtPr>
    <w:sdtEndPr>
      <w:rPr>
        <w:noProof/>
      </w:rPr>
    </w:sdtEndPr>
    <w:sdtContent>
      <w:p w14:paraId="4DA8904B" w14:textId="77777777" w:rsidR="008E410E" w:rsidRDefault="008E410E">
        <w:pPr>
          <w:pStyle w:val="Footer"/>
          <w:jc w:val="right"/>
        </w:pPr>
        <w:r>
          <w:fldChar w:fldCharType="begin"/>
        </w:r>
        <w:r>
          <w:instrText xml:space="preserve"> PAGE   \* MERGEFORMAT </w:instrText>
        </w:r>
        <w:r>
          <w:fldChar w:fldCharType="separate"/>
        </w:r>
        <w:r w:rsidR="00B11D2B">
          <w:rPr>
            <w:noProof/>
          </w:rPr>
          <w:t>4</w:t>
        </w:r>
        <w:r>
          <w:rPr>
            <w:noProof/>
          </w:rPr>
          <w:fldChar w:fldCharType="end"/>
        </w:r>
      </w:p>
    </w:sdtContent>
  </w:sdt>
  <w:p w14:paraId="56B4746C" w14:textId="77777777" w:rsidR="008E410E" w:rsidRDefault="008E41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CB8FD" w14:textId="77777777" w:rsidR="008E410E" w:rsidRDefault="008E410E">
      <w:pPr>
        <w:spacing w:after="0" w:line="240" w:lineRule="auto"/>
      </w:pPr>
      <w:r>
        <w:separator/>
      </w:r>
    </w:p>
  </w:footnote>
  <w:footnote w:type="continuationSeparator" w:id="0">
    <w:p w14:paraId="3C6DC016" w14:textId="77777777" w:rsidR="008E410E" w:rsidRDefault="008E410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549C8"/>
    <w:multiLevelType w:val="hybridMultilevel"/>
    <w:tmpl w:val="877C1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4A6632"/>
    <w:multiLevelType w:val="hybridMultilevel"/>
    <w:tmpl w:val="432A2DF0"/>
    <w:lvl w:ilvl="0" w:tplc="CA4AF5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0710A5"/>
    <w:multiLevelType w:val="hybridMultilevel"/>
    <w:tmpl w:val="432A2DF0"/>
    <w:lvl w:ilvl="0" w:tplc="CA4AF5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344BA"/>
    <w:multiLevelType w:val="hybridMultilevel"/>
    <w:tmpl w:val="A5CAA9D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2A"/>
    <w:rsid w:val="000A3FDE"/>
    <w:rsid w:val="00106F03"/>
    <w:rsid w:val="00247281"/>
    <w:rsid w:val="00317BBA"/>
    <w:rsid w:val="00673C60"/>
    <w:rsid w:val="008A422A"/>
    <w:rsid w:val="008E410E"/>
    <w:rsid w:val="00934F46"/>
    <w:rsid w:val="00B11D2B"/>
    <w:rsid w:val="00C22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3F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2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22A"/>
    <w:pPr>
      <w:ind w:left="720"/>
      <w:contextualSpacing/>
    </w:pPr>
  </w:style>
  <w:style w:type="paragraph" w:styleId="Footer">
    <w:name w:val="footer"/>
    <w:basedOn w:val="Normal"/>
    <w:link w:val="FooterChar"/>
    <w:uiPriority w:val="99"/>
    <w:unhideWhenUsed/>
    <w:rsid w:val="008A4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22A"/>
  </w:style>
  <w:style w:type="table" w:styleId="TableGrid">
    <w:name w:val="Table Grid"/>
    <w:basedOn w:val="TableNormal"/>
    <w:uiPriority w:val="59"/>
    <w:rsid w:val="00317BBA"/>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7BB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7BB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2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22A"/>
    <w:pPr>
      <w:ind w:left="720"/>
      <w:contextualSpacing/>
    </w:pPr>
  </w:style>
  <w:style w:type="paragraph" w:styleId="Footer">
    <w:name w:val="footer"/>
    <w:basedOn w:val="Normal"/>
    <w:link w:val="FooterChar"/>
    <w:uiPriority w:val="99"/>
    <w:unhideWhenUsed/>
    <w:rsid w:val="008A4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22A"/>
  </w:style>
  <w:style w:type="table" w:styleId="TableGrid">
    <w:name w:val="Table Grid"/>
    <w:basedOn w:val="TableNormal"/>
    <w:uiPriority w:val="59"/>
    <w:rsid w:val="00317BBA"/>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7BB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7BB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Absorban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US"/>
              <a:t>BEER'S</a:t>
            </a:r>
            <a:r>
              <a:rPr lang="en-US" baseline="0"/>
              <a:t> LAW PLOT </a:t>
            </a:r>
            <a:endParaRPr lang="en-US"/>
          </a:p>
        </c:rich>
      </c:tx>
      <c:layout/>
      <c:overlay val="0"/>
      <c:spPr>
        <a:noFill/>
        <a:ln>
          <a:noFill/>
        </a:ln>
        <a:effectLst/>
      </c:spPr>
    </c:title>
    <c:autoTitleDeleted val="0"/>
    <c:plotArea>
      <c:layout/>
      <c:lineChart>
        <c:grouping val="standard"/>
        <c:varyColors val="0"/>
        <c:ser>
          <c:idx val="0"/>
          <c:order val="0"/>
          <c:tx>
            <c:strRef>
              <c:f>Sheet1!$A$6</c:f>
              <c:strCache>
                <c:ptCount val="1"/>
                <c:pt idx="0">
                  <c:v>Abs at 447nm</c:v>
                </c:pt>
              </c:strCache>
            </c:strRef>
          </c:tx>
          <c:spPr>
            <a:ln w="28575" cap="rnd">
              <a:solidFill>
                <a:schemeClr val="lt1">
                  <a:alpha val="50000"/>
                </a:schemeClr>
              </a:solidFill>
              <a:round/>
            </a:ln>
            <a:effectLst>
              <a:outerShdw dist="25400" dir="2700000" algn="tl" rotWithShape="0">
                <a:schemeClr val="accent1"/>
              </a:outerShdw>
            </a:effectLst>
          </c:spPr>
          <c:marker>
            <c:symbol val="none"/>
          </c:marker>
          <c:trendline>
            <c:spPr>
              <a:ln w="28575" cap="rnd">
                <a:solidFill>
                  <a:schemeClr val="lt1">
                    <a:alpha val="50000"/>
                  </a:schemeClr>
                </a:solidFill>
                <a:round/>
              </a:ln>
              <a:effectLst/>
            </c:spPr>
            <c:trendlineType val="linear"/>
            <c:dispRSqr val="0"/>
            <c:dispEq val="1"/>
            <c:trendlineLbl>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trendlineLbl>
          </c:trendline>
          <c:cat>
            <c:numRef>
              <c:f>Sheet1!$B$5:$G$5</c:f>
              <c:numCache>
                <c:formatCode>General</c:formatCode>
                <c:ptCount val="6"/>
                <c:pt idx="0">
                  <c:v>0.0</c:v>
                </c:pt>
                <c:pt idx="1">
                  <c:v>5.0E-5</c:v>
                </c:pt>
                <c:pt idx="2">
                  <c:v>8.0E-5</c:v>
                </c:pt>
                <c:pt idx="3">
                  <c:v>0.0012</c:v>
                </c:pt>
                <c:pt idx="4">
                  <c:v>0.0016</c:v>
                </c:pt>
                <c:pt idx="5">
                  <c:v>0.0002</c:v>
                </c:pt>
              </c:numCache>
            </c:numRef>
          </c:cat>
          <c:val>
            <c:numRef>
              <c:f>Sheet1!$B$6:$G$6</c:f>
              <c:numCache>
                <c:formatCode>General</c:formatCode>
                <c:ptCount val="6"/>
                <c:pt idx="0">
                  <c:v>0.0</c:v>
                </c:pt>
                <c:pt idx="1">
                  <c:v>0.045</c:v>
                </c:pt>
                <c:pt idx="2">
                  <c:v>0.068</c:v>
                </c:pt>
                <c:pt idx="3">
                  <c:v>0.154</c:v>
                </c:pt>
                <c:pt idx="4">
                  <c:v>0.287</c:v>
                </c:pt>
                <c:pt idx="5">
                  <c:v>0.317</c:v>
                </c:pt>
              </c:numCache>
            </c:numRef>
          </c:val>
          <c:smooth val="1"/>
          <c:extLst xmlns:c16r2="http://schemas.microsoft.com/office/drawing/2015/06/chart">
            <c:ext xmlns:c16="http://schemas.microsoft.com/office/drawing/2014/chart" uri="{C3380CC4-5D6E-409C-BE32-E72D297353CC}">
              <c16:uniqueId val="{00000000-8F2B-4763-BE80-47586B11CC92}"/>
            </c:ext>
          </c:extLst>
        </c:ser>
        <c:dLbls>
          <c:showLegendKey val="0"/>
          <c:showVal val="0"/>
          <c:showCatName val="0"/>
          <c:showSerName val="0"/>
          <c:showPercent val="0"/>
          <c:showBubbleSize val="0"/>
        </c:dLbls>
        <c:marker val="1"/>
        <c:smooth val="0"/>
        <c:axId val="2137664552"/>
        <c:axId val="2137670920"/>
      </c:lineChart>
      <c:catAx>
        <c:axId val="2137664552"/>
        <c:scaling>
          <c:orientation val="minMax"/>
        </c:scaling>
        <c:delete val="0"/>
        <c:axPos val="b"/>
        <c:majorGridlines>
          <c:spPr>
            <a:ln w="9525" cap="flat" cmpd="sng" algn="ctr">
              <a:solidFill>
                <a:schemeClr val="lt1">
                  <a:alpha val="2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lt1"/>
                    </a:solidFill>
                    <a:latin typeface="+mn-lt"/>
                    <a:ea typeface="+mn-ea"/>
                    <a:cs typeface="+mn-cs"/>
                  </a:defRPr>
                </a:pPr>
                <a:r>
                  <a:rPr lang="en-US"/>
                  <a:t>Equilibrium FeNCS ion conc M</a:t>
                </a:r>
              </a:p>
            </c:rich>
          </c:tx>
          <c:layout/>
          <c:overlay val="0"/>
          <c:spPr>
            <a:noFill/>
            <a:ln>
              <a:noFill/>
            </a:ln>
            <a:effectLst/>
          </c:spPr>
        </c:title>
        <c:numFmt formatCode="General" sourceLinked="1"/>
        <c:majorTickMark val="none"/>
        <c:minorTickMark val="none"/>
        <c:tickLblPos val="nextTo"/>
        <c:spPr>
          <a:noFill/>
          <a:ln w="12700" cap="flat" cmpd="sng" algn="ctr">
            <a:solidFill>
              <a:schemeClr val="lt1">
                <a:alpha val="25000"/>
              </a:schemeClr>
            </a:solidFill>
            <a:round/>
          </a:ln>
          <a:effectLst/>
        </c:spPr>
        <c:txPr>
          <a:bodyPr rot="-60000000" spcFirstLastPara="1" vertOverflow="ellipsis" vert="horz" wrap="square" anchor="ctr" anchorCtr="1"/>
          <a:lstStyle/>
          <a:p>
            <a:pPr>
              <a:defRPr sz="900" b="0" i="0" u="none" strike="noStrike" kern="1200" spc="100" baseline="0">
                <a:solidFill>
                  <a:schemeClr val="lt1"/>
                </a:solidFill>
                <a:latin typeface="+mn-lt"/>
                <a:ea typeface="+mn-ea"/>
                <a:cs typeface="+mn-cs"/>
              </a:defRPr>
            </a:pPr>
            <a:endParaRPr lang="en-US"/>
          </a:p>
        </c:txPr>
        <c:crossAx val="2137670920"/>
        <c:crosses val="autoZero"/>
        <c:auto val="1"/>
        <c:lblAlgn val="ctr"/>
        <c:lblOffset val="100"/>
        <c:noMultiLvlLbl val="0"/>
      </c:catAx>
      <c:valAx>
        <c:axId val="2137670920"/>
        <c:scaling>
          <c:orientation val="minMax"/>
        </c:scaling>
        <c:delete val="0"/>
        <c:axPos val="l"/>
        <c:majorGridlines>
          <c:spPr>
            <a:ln w="9525" cap="flat" cmpd="sng" algn="ctr">
              <a:solidFill>
                <a:schemeClr val="lt1">
                  <a:alpha val="2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lt1"/>
                    </a:solidFill>
                    <a:latin typeface="+mn-lt"/>
                    <a:ea typeface="+mn-ea"/>
                    <a:cs typeface="+mn-cs"/>
                  </a:defRPr>
                </a:pPr>
                <a:r>
                  <a:rPr lang="en-US"/>
                  <a:t>Abs at 447nm</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crossAx val="2137664552"/>
        <c:crosses val="autoZero"/>
        <c:crossBetween val="between"/>
      </c:valAx>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465</Words>
  <Characters>2657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American University</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auadmin</dc:creator>
  <cp:lastModifiedBy>paola quinones</cp:lastModifiedBy>
  <cp:revision>4</cp:revision>
  <dcterms:created xsi:type="dcterms:W3CDTF">2017-02-21T22:54:00Z</dcterms:created>
  <dcterms:modified xsi:type="dcterms:W3CDTF">2017-02-21T22:58:00Z</dcterms:modified>
</cp:coreProperties>
</file>